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4" w:rsidRPr="00B3001F" w:rsidRDefault="00491614" w:rsidP="00491614">
      <w:pPr>
        <w:widowControl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3001F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干姜</w:t>
      </w:r>
      <w:r w:rsidRPr="00B3001F">
        <w:rPr>
          <w:rFonts w:ascii="Times New Roman" w:eastAsia="黑体" w:hAnsi="Times New Roman" w:cs="Times New Roman"/>
          <w:color w:val="000000"/>
          <w:sz w:val="32"/>
          <w:szCs w:val="32"/>
        </w:rPr>
        <w:t>煮散饮片</w:t>
      </w:r>
    </w:p>
    <w:p w:rsidR="00491614" w:rsidRPr="00B3001F" w:rsidRDefault="00491614" w:rsidP="00491614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proofErr w:type="spellStart"/>
      <w:r w:rsidRPr="00B3001F">
        <w:rPr>
          <w:rFonts w:ascii="Times New Roman" w:eastAsia="宋体" w:hAnsi="Times New Roman" w:cs="Times New Roman"/>
          <w:b/>
          <w:sz w:val="24"/>
          <w:szCs w:val="24"/>
        </w:rPr>
        <w:t>Ganjiangzhusanyinpian</w:t>
      </w:r>
      <w:proofErr w:type="spellEnd"/>
    </w:p>
    <w:p w:rsidR="00491614" w:rsidRPr="00B3001F" w:rsidRDefault="00491614" w:rsidP="0049161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3001F">
        <w:rPr>
          <w:rFonts w:ascii="Times New Roman" w:eastAsia="宋体" w:hAnsi="Times New Roman" w:cs="Times New Roman"/>
          <w:b/>
          <w:sz w:val="24"/>
          <w:szCs w:val="24"/>
        </w:rPr>
        <w:t xml:space="preserve">ZINGIBERIS RHIZOMA </w:t>
      </w:r>
      <w:r w:rsidRPr="00B3001F">
        <w:rPr>
          <w:rFonts w:ascii="Times New Roman" w:eastAsia="宋体" w:hAnsi="Times New Roman" w:cs="Times New Roman"/>
          <w:b/>
          <w:bCs/>
          <w:sz w:val="24"/>
          <w:szCs w:val="24"/>
        </w:rPr>
        <w:t>APOZEM PARS</w:t>
      </w:r>
    </w:p>
    <w:p w:rsidR="00491614" w:rsidRPr="00B3001F" w:rsidRDefault="00491614" w:rsidP="00491614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491614" w:rsidRPr="00B3001F" w:rsidRDefault="00491614" w:rsidP="00491614">
      <w:pPr>
        <w:spacing w:line="360" w:lineRule="auto"/>
        <w:ind w:leftChars="14" w:left="29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本品为姜科植物姜</w:t>
      </w:r>
      <w:bookmarkStart w:id="0" w:name="_Hlk27639726"/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Zingiber</w:t>
      </w:r>
      <w:proofErr w:type="spellEnd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officinale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Rosc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.</w:t>
      </w:r>
      <w:bookmarkEnd w:id="0"/>
      <w:r w:rsidRPr="00B3001F">
        <w:rPr>
          <w:rFonts w:ascii="Times New Roman" w:eastAsia="宋体" w:hAnsi="Times New Roman" w:cs="Times New Roman"/>
          <w:sz w:val="24"/>
          <w:szCs w:val="24"/>
        </w:rPr>
        <w:t>干燥根茎的加工制品。</w:t>
      </w:r>
    </w:p>
    <w:p w:rsidR="00491614" w:rsidRPr="00B3001F" w:rsidRDefault="00491614" w:rsidP="00491614">
      <w:pPr>
        <w:spacing w:line="360" w:lineRule="auto"/>
        <w:ind w:leftChars="14" w:left="29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【制法】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取净干姜，略泡，洗净，润透，切碎或破碎，干燥，制成</w:t>
      </w:r>
      <w:r w:rsidRPr="00B3001F">
        <w:rPr>
          <w:rFonts w:ascii="Times New Roman" w:eastAsia="宋体" w:hAnsi="Times New Roman" w:cs="Times New Roman"/>
          <w:sz w:val="24"/>
          <w:szCs w:val="24"/>
        </w:rPr>
        <w:t>0.8mm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6.7mm</w:t>
      </w:r>
      <w:r w:rsidRPr="00B3001F">
        <w:rPr>
          <w:rFonts w:ascii="Times New Roman" w:eastAsia="宋体" w:hAnsi="Times New Roman" w:cs="Times New Roman"/>
          <w:sz w:val="24"/>
          <w:szCs w:val="24"/>
        </w:rPr>
        <w:t>的颗粒，即得。</w:t>
      </w:r>
    </w:p>
    <w:p w:rsidR="00491614" w:rsidRPr="00B3001F" w:rsidRDefault="00491614" w:rsidP="00491614">
      <w:pPr>
        <w:spacing w:line="360" w:lineRule="auto"/>
        <w:ind w:leftChars="14" w:left="29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【性状】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本品呈不规则颗粒状，粒径范围为</w:t>
      </w:r>
      <w:r w:rsidRPr="00B3001F">
        <w:rPr>
          <w:rFonts w:ascii="Times New Roman" w:eastAsia="宋体" w:hAnsi="Times New Roman" w:cs="Times New Roman"/>
          <w:sz w:val="24"/>
          <w:szCs w:val="24"/>
        </w:rPr>
        <w:t>0.8mm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6.7mm</w:t>
      </w:r>
      <w:r w:rsidRPr="00B3001F">
        <w:rPr>
          <w:rFonts w:ascii="Times New Roman" w:eastAsia="宋体" w:hAnsi="Times New Roman" w:cs="Times New Roman"/>
          <w:sz w:val="24"/>
          <w:szCs w:val="24"/>
        </w:rPr>
        <w:t>。表面灰黄色或灰白色，略显粉性，有较多纤维。气香、特异，味辛辣。</w:t>
      </w:r>
    </w:p>
    <w:p w:rsidR="00491614" w:rsidRPr="00B3001F" w:rsidRDefault="00491614" w:rsidP="0049161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【鉴别】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本品粉末淡黄棕色。淀粉粒众多，长卵圆形、三角状卵形、椭圆形、类圆形或不规则形，直径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40μm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，脐点点状，位于较小端，也有呈裂缝状者，层纹有的明显。油细胞及树脂细胞散于薄壁组织中，内含淡黄色油滴或暗红棕色物质。纤维成束或散离，先端钝尖，少数分叉，有的一边呈波状或锯齿状，直径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40μm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，壁稍厚，非木化，</w:t>
      </w:r>
      <w:proofErr w:type="gramStart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具斜细</w:t>
      </w:r>
      <w:proofErr w:type="gramEnd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纹孔，常可见菲薄的横隔。梯纹导管、螺纹导管及网纹导管多见，少数为环纹导管，直径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70μm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。导管或纤维旁有时可见内含暗红棕色物的管状细胞，直径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12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20μm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491614" w:rsidRPr="00B3001F" w:rsidRDefault="00491614" w:rsidP="0049161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）薄层鉴别或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条形码鉴定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薄层鉴别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取本品粉末</w:t>
      </w:r>
      <w:r w:rsidRPr="00B3001F">
        <w:rPr>
          <w:rFonts w:ascii="Times New Roman" w:eastAsia="宋体" w:hAnsi="Times New Roman" w:cs="Times New Roman"/>
          <w:sz w:val="24"/>
          <w:szCs w:val="24"/>
        </w:rPr>
        <w:t>2g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，加乙醇</w:t>
      </w:r>
      <w:r w:rsidRPr="00B3001F">
        <w:rPr>
          <w:rFonts w:ascii="Times New Roman" w:eastAsia="宋体" w:hAnsi="Times New Roman" w:cs="Times New Roman"/>
          <w:sz w:val="24"/>
          <w:szCs w:val="24"/>
        </w:rPr>
        <w:t>20ml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，超声处理</w:t>
      </w:r>
      <w:r w:rsidRPr="00B3001F">
        <w:rPr>
          <w:rFonts w:ascii="Times New Roman" w:eastAsia="宋体" w:hAnsi="Times New Roman" w:cs="Times New Roman"/>
          <w:sz w:val="24"/>
          <w:szCs w:val="24"/>
        </w:rPr>
        <w:t>20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分钟，滤过，滤液蒸干，残渣加甲醇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t>使溶解，作为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。另取干姜对照药材</w:t>
      </w:r>
      <w:r w:rsidRPr="00B3001F">
        <w:rPr>
          <w:rFonts w:ascii="Times New Roman" w:eastAsia="宋体" w:hAnsi="Times New Roman" w:cs="Times New Roman"/>
          <w:sz w:val="24"/>
          <w:szCs w:val="24"/>
        </w:rPr>
        <w:t>2g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，同法制成对照药材溶液。照薄层色谱法（中国药典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0502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）试验，吸取上述两种溶液各</w:t>
      </w:r>
      <w:r w:rsidRPr="00B3001F">
        <w:rPr>
          <w:rFonts w:ascii="Times New Roman" w:eastAsia="宋体" w:hAnsi="Times New Roman" w:cs="Times New Roman"/>
          <w:sz w:val="24"/>
          <w:szCs w:val="24"/>
        </w:rPr>
        <w:t>4μl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，分别点于同一以羧甲基纤维素钠为黏合剂的硅胶</w:t>
      </w:r>
      <w:r w:rsidRPr="00B3001F">
        <w:rPr>
          <w:rFonts w:ascii="Times New Roman" w:eastAsia="宋体" w:hAnsi="Times New Roman" w:cs="Times New Roman"/>
          <w:sz w:val="24"/>
          <w:szCs w:val="24"/>
        </w:rPr>
        <w:t>G</w:t>
      </w:r>
      <w:r w:rsidRPr="00B3001F">
        <w:rPr>
          <w:rFonts w:ascii="Times New Roman" w:eastAsia="宋体" w:hAnsi="Times New Roman" w:cs="Times New Roman"/>
          <w:sz w:val="24"/>
          <w:szCs w:val="24"/>
        </w:rPr>
        <w:t>薄层板上，以环已烷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乙醚（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宋体" w:eastAsia="宋体" w:hAnsi="宋体" w:cs="宋体" w:hint="eastAsia"/>
          <w:sz w:val="24"/>
          <w:szCs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）为展开剂，展开，取出，晾干，喷以香草醛硫酸试液，在</w:t>
      </w:r>
      <w:r w:rsidRPr="00B3001F">
        <w:rPr>
          <w:rFonts w:ascii="Times New Roman" w:eastAsia="宋体" w:hAnsi="Times New Roman" w:cs="Times New Roman"/>
          <w:sz w:val="24"/>
          <w:szCs w:val="24"/>
        </w:rPr>
        <w:t>105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加热至斑点显色清晰。供试品色谱中，在与对照药材色谱相应的位置上，显相同颜色的斑点。</w:t>
      </w:r>
    </w:p>
    <w:p w:rsidR="00491614" w:rsidRPr="00B3001F" w:rsidRDefault="00491614" w:rsidP="00491614">
      <w:pPr>
        <w:spacing w:line="360" w:lineRule="auto"/>
        <w:ind w:firstLineChars="196" w:firstLine="470"/>
        <w:rPr>
          <w:rFonts w:ascii="Times New Roman" w:eastAsia="宋体" w:hAnsi="Times New Roman" w:cs="Times New Roman"/>
          <w:b/>
          <w:bCs/>
          <w:strike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sz w:val="24"/>
          <w:szCs w:val="24"/>
        </w:rPr>
        <w:t>条形码鉴定</w:t>
      </w:r>
    </w:p>
    <w:p w:rsidR="00491614" w:rsidRPr="00B3001F" w:rsidRDefault="00491614" w:rsidP="00491614">
      <w:pPr>
        <w:spacing w:line="360" w:lineRule="auto"/>
        <w:ind w:leftChars="7" w:left="15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模板</w:t>
      </w:r>
      <w:r w:rsidRPr="00B3001F">
        <w:rPr>
          <w:rFonts w:ascii="Times New Roman" w:eastAsia="黑体" w:hAnsi="Times New Roman" w:cs="Times New Roman"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sz w:val="24"/>
          <w:szCs w:val="24"/>
        </w:rPr>
        <w:t>提取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取本品适量，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研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成细粉，用植物基因组提取试剂盒提取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供试品模板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溶液，置</w:t>
      </w:r>
      <w:r w:rsidRPr="00B3001F">
        <w:rPr>
          <w:rFonts w:ascii="Times New Roman" w:eastAsia="宋体" w:hAnsi="Times New Roman" w:cs="Times New Roman"/>
          <w:sz w:val="24"/>
          <w:szCs w:val="24"/>
        </w:rPr>
        <w:t>-20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保存备用。另取干姜对照药材适量，同法制成对照药材模板</w:t>
      </w:r>
      <w:r w:rsidRPr="00B3001F">
        <w:rPr>
          <w:rFonts w:ascii="Times New Roman" w:eastAsia="宋体" w:hAnsi="Times New Roman" w:cs="Times New Roman"/>
          <w:sz w:val="24"/>
          <w:szCs w:val="24"/>
        </w:rPr>
        <w:t>DNA-</w:t>
      </w:r>
      <w:r w:rsidRPr="00B3001F">
        <w:rPr>
          <w:rFonts w:ascii="Times New Roman" w:eastAsia="宋体" w:hAnsi="Times New Roman" w:cs="Times New Roman"/>
          <w:sz w:val="24"/>
          <w:szCs w:val="24"/>
        </w:rPr>
        <w:t>溶液，置</w:t>
      </w:r>
      <w:r w:rsidRPr="00B3001F">
        <w:rPr>
          <w:rFonts w:ascii="Times New Roman" w:eastAsia="宋体" w:hAnsi="Times New Roman" w:cs="Times New Roman"/>
          <w:sz w:val="24"/>
          <w:szCs w:val="24"/>
        </w:rPr>
        <w:t>-20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保存备用。</w:t>
      </w:r>
    </w:p>
    <w:p w:rsidR="00491614" w:rsidRPr="00B3001F" w:rsidRDefault="00491614" w:rsidP="00491614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PCR</w:t>
      </w:r>
      <w:r w:rsidRPr="00B3001F">
        <w:rPr>
          <w:rFonts w:ascii="Times New Roman" w:eastAsia="黑体" w:hAnsi="Times New Roman" w:cs="Times New Roman"/>
          <w:sz w:val="24"/>
          <w:szCs w:val="24"/>
        </w:rPr>
        <w:t>反应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通用引物：</w:t>
      </w:r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psbA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5′-GTTATGCATGAACGTAATG CTC-3′</w:t>
      </w:r>
      <w:r w:rsidRPr="00B3001F">
        <w:rPr>
          <w:rFonts w:ascii="Times New Roman" w:eastAsia="宋体" w:hAnsi="Times New Roman" w:cs="Times New Roman"/>
          <w:sz w:val="24"/>
          <w:szCs w:val="24"/>
        </w:rPr>
        <w:t>）和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trnH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lastRenderedPageBreak/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5′-CGCGCATGGTGGATTCACAATCC-3′</w:t>
      </w:r>
      <w:r w:rsidRPr="00B3001F">
        <w:rPr>
          <w:rFonts w:ascii="Times New Roman" w:eastAsia="宋体" w:hAnsi="Times New Roman" w:cs="Times New Roman"/>
          <w:sz w:val="24"/>
          <w:szCs w:val="24"/>
        </w:rPr>
        <w:t>）。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反应体系：在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200μl </w:t>
      </w:r>
      <w:r w:rsidRPr="00B3001F">
        <w:rPr>
          <w:rFonts w:ascii="Times New Roman" w:eastAsia="宋体" w:hAnsi="Times New Roman" w:cs="Times New Roman"/>
          <w:sz w:val="24"/>
          <w:szCs w:val="24"/>
        </w:rPr>
        <w:t>离心管中进行，反应总体积为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，反应体系包括</w:t>
      </w:r>
      <w:r w:rsidRPr="00B3001F">
        <w:rPr>
          <w:rFonts w:ascii="Times New Roman" w:eastAsia="宋体" w:hAnsi="Times New Roman" w:cs="Times New Roman"/>
          <w:sz w:val="24"/>
          <w:szCs w:val="24"/>
        </w:rPr>
        <w:t>2×Taq PCR Mix 12.5μl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，通用引物（</w:t>
      </w:r>
      <w:r w:rsidRPr="00B3001F">
        <w:rPr>
          <w:rFonts w:ascii="Times New Roman" w:eastAsia="宋体" w:hAnsi="Times New Roman" w:cs="Times New Roman"/>
          <w:sz w:val="24"/>
          <w:szCs w:val="24"/>
        </w:rPr>
        <w:t>2.5μM</w:t>
      </w:r>
      <w:r w:rsidRPr="00B3001F">
        <w:rPr>
          <w:rFonts w:ascii="Times New Roman" w:eastAsia="宋体" w:hAnsi="Times New Roman" w:cs="Times New Roman"/>
          <w:sz w:val="24"/>
          <w:szCs w:val="24"/>
        </w:rPr>
        <w:t>）各</w:t>
      </w:r>
      <w:r w:rsidRPr="00B3001F">
        <w:rPr>
          <w:rFonts w:ascii="Times New Roman" w:eastAsia="宋体" w:hAnsi="Times New Roman" w:cs="Times New Roman"/>
          <w:sz w:val="24"/>
          <w:szCs w:val="24"/>
        </w:rPr>
        <w:t>1μl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，模板（基因组</w:t>
      </w:r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＜</w:t>
      </w:r>
      <w:r w:rsidRPr="00B3001F">
        <w:rPr>
          <w:rFonts w:ascii="Times New Roman" w:eastAsia="宋体" w:hAnsi="Times New Roman" w:cs="Times New Roman"/>
          <w:sz w:val="24"/>
          <w:szCs w:val="24"/>
        </w:rPr>
        <w:t>0.1μg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2μl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，无菌双蒸水</w:t>
      </w:r>
      <w:r w:rsidRPr="00B3001F">
        <w:rPr>
          <w:rFonts w:ascii="Times New Roman" w:eastAsia="宋体" w:hAnsi="Times New Roman" w:cs="Times New Roman"/>
          <w:sz w:val="24"/>
          <w:szCs w:val="24"/>
        </w:rPr>
        <w:t>8.5μl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。将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离心管置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仪，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反应参数：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预变性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5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分钟，循环反应</w:t>
      </w:r>
      <w:r w:rsidRPr="00B3001F">
        <w:rPr>
          <w:rFonts w:ascii="Times New Roman" w:eastAsia="宋体" w:hAnsi="Times New Roman" w:cs="Times New Roman"/>
          <w:sz w:val="24"/>
          <w:szCs w:val="24"/>
        </w:rPr>
        <w:t>35</w:t>
      </w:r>
      <w:r w:rsidRPr="00B3001F">
        <w:rPr>
          <w:rFonts w:ascii="Times New Roman" w:eastAsia="宋体" w:hAnsi="Times New Roman" w:cs="Times New Roman"/>
          <w:sz w:val="24"/>
          <w:szCs w:val="24"/>
        </w:rPr>
        <w:t>次（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30 </w:t>
      </w:r>
      <w:r w:rsidRPr="00B3001F">
        <w:rPr>
          <w:rFonts w:ascii="Times New Roman" w:eastAsia="宋体" w:hAnsi="Times New Roman" w:cs="Times New Roman"/>
          <w:sz w:val="24"/>
          <w:szCs w:val="24"/>
        </w:rPr>
        <w:t>秒，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55 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1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1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分钟），延伸（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10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分钟。另取无菌超纯水，同法上述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反应操作，作为空白对照。</w:t>
      </w:r>
    </w:p>
    <w:p w:rsidR="00491614" w:rsidRPr="00B3001F" w:rsidRDefault="00491614" w:rsidP="00491614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电泳检测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照琼脂糖凝胶电泳法（中国药典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0541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），胶浓度为</w:t>
      </w:r>
      <w:r w:rsidRPr="00B3001F">
        <w:rPr>
          <w:rFonts w:ascii="Times New Roman" w:eastAsia="宋体" w:hAnsi="Times New Roman" w:cs="Times New Roman"/>
          <w:sz w:val="24"/>
          <w:szCs w:val="24"/>
        </w:rPr>
        <w:t>1.5%</w:t>
      </w:r>
      <w:r w:rsidRPr="00B3001F">
        <w:rPr>
          <w:rFonts w:ascii="Times New Roman" w:eastAsia="宋体" w:hAnsi="Times New Roman" w:cs="Times New Roman"/>
          <w:sz w:val="24"/>
          <w:szCs w:val="24"/>
        </w:rPr>
        <w:t>，胶中加入核酸凝胶染色剂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GelRed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；供试品、对照药材与空白对照</w:t>
      </w:r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反应溶液的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上样量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分别为</w:t>
      </w:r>
      <w:r w:rsidRPr="00B3001F">
        <w:rPr>
          <w:rFonts w:ascii="Times New Roman" w:eastAsia="宋体" w:hAnsi="Times New Roman" w:cs="Times New Roman"/>
          <w:sz w:val="24"/>
          <w:szCs w:val="24"/>
        </w:rPr>
        <w:t>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分子量标记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上样量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0.5μg/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μl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供试品和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对照药材凝胶电泳图谱中，在约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750bp </w:t>
      </w:r>
      <w:r w:rsidRPr="00B3001F">
        <w:rPr>
          <w:rFonts w:ascii="Times New Roman" w:eastAsia="宋体" w:hAnsi="Times New Roman" w:cs="Times New Roman"/>
          <w:sz w:val="24"/>
          <w:szCs w:val="24"/>
        </w:rPr>
        <w:t>处应有一条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条带，空白对照无条带。</w:t>
      </w:r>
    </w:p>
    <w:p w:rsidR="00491614" w:rsidRPr="00B3001F" w:rsidRDefault="00491614" w:rsidP="00491614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测序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在紫外光灯下迅速切取目的条带所在位置的凝胶，采用琼脂糖凝胶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回收试剂盒进行纯化。使用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测序仪对目的条带进行双向测序，以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扩增引物作为测序引物。</w:t>
      </w:r>
    </w:p>
    <w:p w:rsidR="00491614" w:rsidRPr="00B3001F" w:rsidRDefault="00491614" w:rsidP="00491614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中药材</w:t>
      </w:r>
      <w:r w:rsidRPr="00B3001F">
        <w:rPr>
          <w:rFonts w:ascii="Times New Roman" w:eastAsia="黑体" w:hAnsi="Times New Roman" w:cs="Times New Roman"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sz w:val="24"/>
          <w:szCs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对双向测序峰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图应用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有序列拼接功能的专业软件进行序列拼接，去除引物区，并使序列方向与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扩展正向引物方向一致。</w:t>
      </w:r>
    </w:p>
    <w:p w:rsidR="00491614" w:rsidRPr="00B3001F" w:rsidRDefault="00491614" w:rsidP="00491614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结果判定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将获得的序列与国家或广东省药品管理部门认可的中药材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条形码标准序列比对，应为干姜</w:t>
      </w:r>
      <w:proofErr w:type="gramStart"/>
      <w:r w:rsidRPr="00B3001F">
        <w:rPr>
          <w:rFonts w:ascii="Times New Roman" w:eastAsia="宋体" w:hAnsi="Times New Roman" w:cs="Times New Roman"/>
          <w:strike/>
          <w:kern w:val="0"/>
          <w:sz w:val="24"/>
          <w:szCs w:val="24"/>
        </w:rPr>
        <w:t>的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基原植物</w:t>
      </w:r>
      <w:proofErr w:type="gramEnd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姜</w:t>
      </w:r>
      <w:proofErr w:type="spellStart"/>
      <w:r w:rsidRPr="00B3001F">
        <w:rPr>
          <w:rFonts w:ascii="Times New Roman" w:eastAsia="宋体" w:hAnsi="Times New Roman" w:cs="Times New Roman"/>
          <w:i/>
          <w:kern w:val="0"/>
          <w:sz w:val="24"/>
          <w:szCs w:val="24"/>
        </w:rPr>
        <w:t>Zingiber</w:t>
      </w:r>
      <w:proofErr w:type="spellEnd"/>
      <w:r w:rsidRPr="00B3001F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i/>
          <w:kern w:val="0"/>
          <w:sz w:val="24"/>
          <w:szCs w:val="24"/>
        </w:rPr>
        <w:t>officinale</w:t>
      </w:r>
      <w:proofErr w:type="spellEnd"/>
      <w:r w:rsidRPr="00B3001F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Rosc</w:t>
      </w:r>
      <w:proofErr w:type="spellEnd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B3001F">
        <w:rPr>
          <w:rFonts w:ascii="Times New Roman" w:eastAsia="宋体" w:hAnsi="Times New Roman" w:cs="Times New Roman"/>
          <w:sz w:val="24"/>
          <w:szCs w:val="24"/>
        </w:rPr>
        <w:t>的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psbA-trnH</w:t>
      </w:r>
      <w:proofErr w:type="spellEnd"/>
      <w:r w:rsidRPr="00B3001F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B3001F">
        <w:rPr>
          <w:rFonts w:ascii="Times New Roman" w:eastAsia="宋体" w:hAnsi="Times New Roman" w:cs="Times New Roman"/>
          <w:sz w:val="24"/>
          <w:szCs w:val="24"/>
        </w:rPr>
        <w:t>序列。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【检查】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  <w:szCs w:val="24"/>
        </w:rPr>
        <w:t>水分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19.0%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bookmarkStart w:id="1" w:name="_Hlk27639067"/>
      <w:r w:rsidRPr="00B3001F">
        <w:rPr>
          <w:rFonts w:ascii="Times New Roman" w:eastAsia="宋体" w:hAnsi="Times New Roman" w:cs="Times New Roman"/>
          <w:sz w:val="24"/>
          <w:szCs w:val="24"/>
        </w:rPr>
        <w:t>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</w:t>
      </w:r>
      <w:bookmarkEnd w:id="1"/>
      <w:r w:rsidRPr="00B3001F">
        <w:rPr>
          <w:rFonts w:ascii="Times New Roman" w:eastAsia="宋体" w:hAnsi="Times New Roman" w:cs="Times New Roman"/>
          <w:sz w:val="24"/>
          <w:szCs w:val="24"/>
        </w:rPr>
        <w:t>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0832</w:t>
      </w:r>
      <w:r w:rsidRPr="00B3001F">
        <w:rPr>
          <w:rFonts w:ascii="Times New Roman" w:eastAsia="宋体" w:hAnsi="Times New Roman" w:cs="Times New Roman"/>
          <w:sz w:val="24"/>
          <w:szCs w:val="24"/>
        </w:rPr>
        <w:t>第四法）。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总灰分</w:t>
      </w:r>
      <w:r w:rsidRPr="00B3001F">
        <w:rPr>
          <w:rFonts w:ascii="Times New Roman" w:eastAsia="宋体" w:hAnsi="Times New Roman" w:cs="Times New Roman"/>
          <w:sz w:val="24"/>
          <w:szCs w:val="24"/>
        </w:rPr>
        <w:t>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6.0%</w:t>
      </w:r>
      <w:r w:rsidRPr="00B3001F">
        <w:rPr>
          <w:rFonts w:ascii="Times New Roman" w:eastAsia="宋体" w:hAnsi="Times New Roman" w:cs="Times New Roman"/>
          <w:sz w:val="24"/>
          <w:szCs w:val="24"/>
        </w:rPr>
        <w:t>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2302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【含量测定】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  <w:szCs w:val="24"/>
        </w:rPr>
        <w:t>挥发油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取本品最粗粉适量，加水</w:t>
      </w:r>
      <w:r w:rsidRPr="00B3001F">
        <w:rPr>
          <w:rFonts w:ascii="Times New Roman" w:eastAsia="宋体" w:hAnsi="Times New Roman" w:cs="Times New Roman"/>
          <w:sz w:val="24"/>
          <w:szCs w:val="24"/>
        </w:rPr>
        <w:t>700ml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，照挥发油测定法（中国药典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2204</w:t>
      </w:r>
      <w:r w:rsidRPr="00B3001F">
        <w:rPr>
          <w:rFonts w:ascii="Times New Roman" w:eastAsia="宋体" w:hAnsi="Times New Roman" w:cs="Times New Roman"/>
          <w:sz w:val="24"/>
          <w:szCs w:val="24"/>
        </w:rPr>
        <w:t>）测定。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本品含挥发油不得少于</w:t>
      </w:r>
      <w:r w:rsidRPr="00B3001F">
        <w:rPr>
          <w:rFonts w:ascii="Times New Roman" w:eastAsia="宋体" w:hAnsi="Times New Roman" w:cs="Times New Roman"/>
          <w:sz w:val="24"/>
          <w:szCs w:val="24"/>
        </w:rPr>
        <w:t>0.8%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ml/g</w:t>
      </w:r>
      <w:r w:rsidRPr="00B3001F"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6-</w:t>
      </w:r>
      <w:r w:rsidRPr="00B3001F">
        <w:rPr>
          <w:rFonts w:ascii="Times New Roman" w:eastAsia="黑体" w:hAnsi="Times New Roman" w:cs="Times New Roman"/>
          <w:sz w:val="24"/>
          <w:szCs w:val="24"/>
        </w:rPr>
        <w:t>姜辣素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照高效液相色谱法（中国药典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0512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）测定。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色谱条件与系统适用性试验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以十八烷基硅烷键合硅胶为填充剂；以乙腈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-  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-  </w:t>
      </w:r>
      <w:r w:rsidRPr="00B3001F">
        <w:rPr>
          <w:rFonts w:ascii="Times New Roman" w:eastAsia="宋体" w:hAnsi="Times New Roman" w:cs="Times New Roman"/>
          <w:sz w:val="24"/>
          <w:szCs w:val="24"/>
        </w:rPr>
        <w:t>水（</w:t>
      </w:r>
      <w:r w:rsidRPr="00B3001F">
        <w:rPr>
          <w:rFonts w:ascii="Times New Roman" w:eastAsia="宋体" w:hAnsi="Times New Roman" w:cs="Times New Roman"/>
          <w:sz w:val="24"/>
          <w:szCs w:val="24"/>
        </w:rPr>
        <w:t>40</w:t>
      </w:r>
      <w:r w:rsidRPr="00B3001F">
        <w:rPr>
          <w:rFonts w:ascii="宋体" w:eastAsia="宋体" w:hAnsi="宋体" w:cs="宋体" w:hint="eastAsia"/>
          <w:sz w:val="24"/>
          <w:szCs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5</w:t>
      </w:r>
      <w:r w:rsidRPr="00B3001F">
        <w:rPr>
          <w:rFonts w:ascii="宋体" w:eastAsia="宋体" w:hAnsi="宋体" w:cs="宋体" w:hint="eastAsia"/>
          <w:sz w:val="24"/>
          <w:szCs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55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）为流动相；检测波长为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280nm</w:t>
      </w:r>
      <w:r w:rsidRPr="00B3001F">
        <w:rPr>
          <w:rFonts w:ascii="Times New Roman" w:eastAsia="宋体" w:hAnsi="Times New Roman" w:cs="Times New Roman"/>
          <w:sz w:val="24"/>
          <w:szCs w:val="24"/>
        </w:rPr>
        <w:t>。理论板数按</w:t>
      </w:r>
      <w:r w:rsidRPr="00B3001F">
        <w:rPr>
          <w:rFonts w:ascii="Times New Roman" w:eastAsia="宋体" w:hAnsi="Times New Roman" w:cs="Times New Roman"/>
          <w:sz w:val="24"/>
          <w:szCs w:val="24"/>
        </w:rPr>
        <w:t>6-</w:t>
      </w:r>
      <w:r w:rsidRPr="00B3001F">
        <w:rPr>
          <w:rFonts w:ascii="Times New Roman" w:eastAsia="宋体" w:hAnsi="Times New Roman" w:cs="Times New Roman"/>
          <w:sz w:val="24"/>
          <w:szCs w:val="24"/>
        </w:rPr>
        <w:t>姜辣素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峰计算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应不低于</w:t>
      </w:r>
      <w:r w:rsidRPr="00B3001F">
        <w:rPr>
          <w:rFonts w:ascii="Times New Roman" w:eastAsia="宋体" w:hAnsi="Times New Roman" w:cs="Times New Roman"/>
          <w:sz w:val="24"/>
          <w:szCs w:val="24"/>
        </w:rPr>
        <w:t>5000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对照品溶液的制备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</w:t>
      </w:r>
      <w:r w:rsidRPr="00B3001F">
        <w:rPr>
          <w:rFonts w:ascii="Times New Roman" w:eastAsia="宋体" w:hAnsi="Times New Roman" w:cs="Times New Roman"/>
          <w:sz w:val="24"/>
          <w:szCs w:val="24"/>
        </w:rPr>
        <w:t>6-</w:t>
      </w:r>
      <w:r w:rsidRPr="00B3001F">
        <w:rPr>
          <w:rFonts w:ascii="Times New Roman" w:eastAsia="宋体" w:hAnsi="Times New Roman" w:cs="Times New Roman"/>
          <w:sz w:val="24"/>
          <w:szCs w:val="24"/>
        </w:rPr>
        <w:t>姜辣素对照品适量，精密称定，加甲醇制成每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lastRenderedPageBreak/>
        <w:t>含</w:t>
      </w:r>
      <w:r w:rsidRPr="00B3001F">
        <w:rPr>
          <w:rFonts w:ascii="Times New Roman" w:eastAsia="宋体" w:hAnsi="Times New Roman" w:cs="Times New Roman"/>
          <w:sz w:val="24"/>
          <w:szCs w:val="24"/>
        </w:rPr>
        <w:t>0.1mg</w:t>
      </w:r>
      <w:r w:rsidRPr="00B3001F">
        <w:rPr>
          <w:rFonts w:ascii="Times New Roman" w:eastAsia="宋体" w:hAnsi="Times New Roman" w:cs="Times New Roman"/>
          <w:sz w:val="24"/>
          <w:szCs w:val="24"/>
        </w:rPr>
        <w:t>的溶液，即得。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B3001F">
        <w:rPr>
          <w:rFonts w:ascii="Times New Roman" w:eastAsia="黑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sz w:val="24"/>
          <w:szCs w:val="24"/>
        </w:rPr>
        <w:t>的制备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取本品粉末（过三号筛）约</w:t>
      </w:r>
      <w:r w:rsidRPr="00B3001F">
        <w:rPr>
          <w:rFonts w:ascii="Times New Roman" w:eastAsia="宋体" w:hAnsi="Times New Roman" w:cs="Times New Roman"/>
          <w:sz w:val="24"/>
          <w:szCs w:val="24"/>
        </w:rPr>
        <w:t>0.25g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，精密称定，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置具塞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锥形瓶中，精密加入</w:t>
      </w:r>
      <w:r w:rsidRPr="00B3001F">
        <w:rPr>
          <w:rFonts w:ascii="Times New Roman" w:eastAsia="宋体" w:hAnsi="Times New Roman" w:cs="Times New Roman"/>
          <w:sz w:val="24"/>
          <w:szCs w:val="24"/>
        </w:rPr>
        <w:t>75%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20ml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，称定重量，超声处理（功率</w:t>
      </w:r>
      <w:r w:rsidRPr="00B3001F">
        <w:rPr>
          <w:rFonts w:ascii="Times New Roman" w:eastAsia="宋体" w:hAnsi="Times New Roman" w:cs="Times New Roman"/>
          <w:sz w:val="24"/>
          <w:szCs w:val="24"/>
        </w:rPr>
        <w:t>100W</w:t>
      </w:r>
      <w:r w:rsidRPr="00B3001F">
        <w:rPr>
          <w:rFonts w:ascii="Times New Roman" w:eastAsia="宋体" w:hAnsi="Times New Roman" w:cs="Times New Roman"/>
          <w:sz w:val="24"/>
          <w:szCs w:val="24"/>
        </w:rPr>
        <w:t>，频率</w:t>
      </w:r>
      <w:r w:rsidRPr="00B3001F">
        <w:rPr>
          <w:rFonts w:ascii="Times New Roman" w:eastAsia="宋体" w:hAnsi="Times New Roman" w:cs="Times New Roman"/>
          <w:sz w:val="24"/>
          <w:szCs w:val="24"/>
        </w:rPr>
        <w:t>40kHz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40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分钟，放冷，再称定重量，用</w:t>
      </w:r>
      <w:r w:rsidRPr="00B3001F">
        <w:rPr>
          <w:rFonts w:ascii="Times New Roman" w:eastAsia="宋体" w:hAnsi="Times New Roman" w:cs="Times New Roman"/>
          <w:sz w:val="24"/>
          <w:szCs w:val="24"/>
        </w:rPr>
        <w:t>75%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补足减失的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重量，摇匀，滤过，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取续滤液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，即得。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测定法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分别精密吸取对照品溶液与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各</w:t>
      </w:r>
      <w:r w:rsidRPr="00B3001F">
        <w:rPr>
          <w:rFonts w:ascii="Times New Roman" w:eastAsia="宋体" w:hAnsi="Times New Roman" w:cs="Times New Roman"/>
          <w:sz w:val="24"/>
          <w:szCs w:val="24"/>
        </w:rPr>
        <w:t>10μl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，注入液相色谱仪，测定，即得。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本品按干燥品计算，含</w:t>
      </w:r>
      <w:r w:rsidRPr="00B3001F">
        <w:rPr>
          <w:rFonts w:ascii="Times New Roman" w:eastAsia="宋体" w:hAnsi="Times New Roman" w:cs="Times New Roman"/>
          <w:sz w:val="24"/>
          <w:szCs w:val="24"/>
        </w:rPr>
        <w:t>6-</w:t>
      </w:r>
      <w:r w:rsidRPr="00B3001F">
        <w:rPr>
          <w:rFonts w:ascii="Times New Roman" w:eastAsia="宋体" w:hAnsi="Times New Roman" w:cs="Times New Roman"/>
          <w:sz w:val="24"/>
          <w:szCs w:val="24"/>
        </w:rPr>
        <w:t>姜辣素（</w:t>
      </w:r>
      <w:r w:rsidRPr="00B3001F">
        <w:rPr>
          <w:rFonts w:ascii="Times New Roman" w:eastAsia="宋体" w:hAnsi="Times New Roman" w:cs="Times New Roman"/>
          <w:sz w:val="24"/>
          <w:szCs w:val="24"/>
        </w:rPr>
        <w:t>C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17</w:t>
      </w:r>
      <w:r w:rsidRPr="00B3001F">
        <w:rPr>
          <w:rFonts w:ascii="Times New Roman" w:eastAsia="宋体" w:hAnsi="Times New Roman" w:cs="Times New Roman"/>
          <w:sz w:val="24"/>
          <w:szCs w:val="24"/>
        </w:rPr>
        <w:t>H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26</w:t>
      </w:r>
      <w:r w:rsidRPr="00B3001F">
        <w:rPr>
          <w:rFonts w:ascii="Times New Roman" w:eastAsia="宋体" w:hAnsi="Times New Roman" w:cs="Times New Roman"/>
          <w:sz w:val="24"/>
          <w:szCs w:val="24"/>
        </w:rPr>
        <w:t>O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4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）不得少于</w:t>
      </w:r>
      <w:r w:rsidRPr="00B3001F">
        <w:rPr>
          <w:rFonts w:ascii="Times New Roman" w:eastAsia="宋体" w:hAnsi="Times New Roman" w:cs="Times New Roman"/>
          <w:sz w:val="24"/>
          <w:szCs w:val="24"/>
        </w:rPr>
        <w:t>0.60%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【性味与归经】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辛，热。归脾、胃、肾、心、肺经。</w:t>
      </w:r>
    </w:p>
    <w:p w:rsidR="00491614" w:rsidRPr="00B3001F" w:rsidRDefault="00491614" w:rsidP="00491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【功能与主治】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温中散寒，回阳通脉，温肺化饮。用于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脘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腹冷痛，呕吐泄泻，肢冷脉微，寒饮喘咳。</w:t>
      </w:r>
    </w:p>
    <w:p w:rsidR="00491614" w:rsidRPr="00B3001F" w:rsidRDefault="00491614" w:rsidP="00491614">
      <w:pPr>
        <w:widowControl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【用法与用量】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3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10g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遵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医嘱。</w:t>
      </w:r>
    </w:p>
    <w:p w:rsidR="00491614" w:rsidRDefault="00491614" w:rsidP="00491614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</w:t>
      </w:r>
      <w:r w:rsidRPr="00B3001F">
        <w:rPr>
          <w:rFonts w:ascii="Times New Roman" w:eastAsia="黑体" w:hAnsi="Times New Roman" w:cs="Times New Roman"/>
          <w:bCs/>
          <w:sz w:val="24"/>
          <w:szCs w:val="24"/>
        </w:rPr>
        <w:t>贮藏</w:t>
      </w:r>
      <w:r w:rsidRPr="00B3001F">
        <w:rPr>
          <w:rFonts w:ascii="Times New Roman" w:eastAsia="黑体" w:hAnsi="Times New Roman" w:cs="Times New Roman"/>
          <w:sz w:val="24"/>
          <w:szCs w:val="24"/>
        </w:rPr>
        <w:t>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bCs/>
          <w:sz w:val="24"/>
          <w:szCs w:val="24"/>
        </w:rPr>
        <w:t>置阴凉干燥处，</w:t>
      </w:r>
      <w:r w:rsidRPr="00B3001F">
        <w:rPr>
          <w:rFonts w:ascii="Times New Roman" w:eastAsia="宋体" w:hAnsi="Times New Roman" w:cs="Times New Roman"/>
          <w:sz w:val="24"/>
          <w:szCs w:val="24"/>
        </w:rPr>
        <w:t>密闭保存，</w:t>
      </w:r>
      <w:r w:rsidRPr="00B3001F">
        <w:rPr>
          <w:rFonts w:ascii="Times New Roman" w:eastAsia="宋体" w:hAnsi="Times New Roman" w:cs="Times New Roman"/>
          <w:bCs/>
          <w:sz w:val="24"/>
          <w:szCs w:val="24"/>
        </w:rPr>
        <w:t>防蛀。</w:t>
      </w:r>
    </w:p>
    <w:p w:rsidR="00345F87" w:rsidRPr="00491614" w:rsidRDefault="00491614">
      <w:bookmarkStart w:id="2" w:name="_GoBack"/>
      <w:bookmarkEnd w:id="2"/>
    </w:p>
    <w:sectPr w:rsidR="00345F87" w:rsidRPr="00491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4"/>
    <w:rsid w:val="00491614"/>
    <w:rsid w:val="008C57FA"/>
    <w:rsid w:val="00A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2020-07-28T00:56:00Z</dcterms:created>
  <dcterms:modified xsi:type="dcterms:W3CDTF">2020-07-28T00:56:00Z</dcterms:modified>
</cp:coreProperties>
</file>