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895"/>
        </w:tabs>
        <w:spacing w:line="360" w:lineRule="auto"/>
        <w:jc w:val="center"/>
        <w:rPr>
          <w:rFonts w:ascii="Times New Roman" w:hAnsi="Times New Roman" w:eastAsia="宋体" w:cs="Times New Roman"/>
          <w:b/>
          <w:color w:val="000000"/>
          <w:sz w:val="28"/>
          <w:szCs w:val="28"/>
          <w:highlight w:val="none"/>
        </w:rPr>
      </w:pPr>
    </w:p>
    <w:p>
      <w:pPr>
        <w:tabs>
          <w:tab w:val="left" w:pos="2895"/>
        </w:tabs>
        <w:snapToGrid w:val="0"/>
        <w:spacing w:line="360" w:lineRule="auto"/>
        <w:jc w:val="center"/>
        <w:rPr>
          <w:rFonts w:ascii="Times New Roman" w:hAnsi="Times New Roman" w:eastAsia="宋体" w:cs="Times New Roman"/>
          <w:b/>
          <w:color w:val="000000"/>
          <w:sz w:val="28"/>
          <w:szCs w:val="28"/>
          <w:highlight w:val="none"/>
        </w:rPr>
      </w:pPr>
      <w:r>
        <w:rPr>
          <w:rFonts w:hint="eastAsia" w:ascii="Times New Roman" w:hAnsi="Times New Roman" w:eastAsia="宋体" w:cs="Times New Roman"/>
          <w:b/>
          <w:color w:val="000000"/>
          <w:sz w:val="28"/>
          <w:szCs w:val="28"/>
          <w:highlight w:val="none"/>
        </w:rPr>
        <w:t>醋甘遂</w:t>
      </w:r>
      <w:r>
        <w:rPr>
          <w:rFonts w:ascii="Times New Roman" w:hAnsi="Times New Roman" w:eastAsia="宋体" w:cs="Times New Roman"/>
          <w:b/>
          <w:color w:val="000000"/>
          <w:sz w:val="28"/>
          <w:szCs w:val="28"/>
          <w:highlight w:val="none"/>
        </w:rPr>
        <w:t>配方颗粒</w:t>
      </w:r>
      <w:bookmarkStart w:id="0" w:name="_GoBack"/>
      <w:bookmarkEnd w:id="0"/>
    </w:p>
    <w:p>
      <w:pPr>
        <w:snapToGrid w:val="0"/>
        <w:spacing w:line="360" w:lineRule="auto"/>
        <w:jc w:val="center"/>
        <w:outlineLvl w:val="0"/>
        <w:rPr>
          <w:rFonts w:ascii="Times New Roman" w:hAnsi="Times New Roman" w:eastAsia="宋体" w:cs="Times New Roman"/>
          <w:color w:val="000000"/>
          <w:sz w:val="24"/>
          <w:szCs w:val="24"/>
          <w:highlight w:val="none"/>
        </w:rPr>
      </w:pPr>
      <w:r>
        <w:rPr>
          <w:rFonts w:hint="eastAsia" w:ascii="Times New Roman" w:hAnsi="Times New Roman" w:eastAsia="宋体" w:cs="Times New Roman"/>
          <w:bCs/>
          <w:kern w:val="0"/>
          <w:sz w:val="24"/>
          <w:szCs w:val="24"/>
          <w:highlight w:val="none"/>
        </w:rPr>
        <w:t>C</w:t>
      </w:r>
      <w:r>
        <w:rPr>
          <w:rFonts w:ascii="Times New Roman" w:hAnsi="Times New Roman" w:eastAsia="宋体" w:cs="Times New Roman"/>
          <w:bCs/>
          <w:kern w:val="0"/>
          <w:sz w:val="24"/>
          <w:szCs w:val="24"/>
          <w:highlight w:val="none"/>
        </w:rPr>
        <w:t>u</w:t>
      </w:r>
      <w:r>
        <w:rPr>
          <w:rFonts w:hint="eastAsia" w:ascii="Times New Roman" w:hAnsi="Times New Roman" w:eastAsia="宋体" w:cs="Times New Roman"/>
          <w:bCs/>
          <w:kern w:val="0"/>
          <w:sz w:val="24"/>
          <w:szCs w:val="24"/>
          <w:highlight w:val="none"/>
        </w:rPr>
        <w:t>gansui</w:t>
      </w:r>
      <w:r>
        <w:rPr>
          <w:rFonts w:ascii="Times New Roman" w:hAnsi="Times New Roman" w:eastAsia="宋体" w:cs="Times New Roman"/>
          <w:color w:val="000000"/>
          <w:sz w:val="24"/>
          <w:szCs w:val="24"/>
          <w:highlight w:val="none"/>
        </w:rPr>
        <w:t>Peifangkeli</w:t>
      </w:r>
    </w:p>
    <w:p>
      <w:pPr>
        <w:snapToGrid w:val="0"/>
        <w:spacing w:line="360" w:lineRule="auto"/>
        <w:jc w:val="center"/>
        <w:rPr>
          <w:rFonts w:ascii="Times New Roman" w:hAnsi="Times New Roman" w:eastAsia="宋体" w:cs="Times New Roman"/>
          <w:color w:val="000000"/>
          <w:sz w:val="24"/>
          <w:szCs w:val="24"/>
          <w:highlight w:val="none"/>
        </w:rPr>
      </w:pPr>
    </w:p>
    <w:p>
      <w:pPr>
        <w:snapToGrid w:val="0"/>
        <w:spacing w:line="360" w:lineRule="auto"/>
        <w:ind w:firstLine="420" w:firstLineChars="200"/>
        <w:rPr>
          <w:rFonts w:ascii="Times New Roman" w:hAnsi="Times New Roman" w:cs="Times New Roman"/>
          <w:color w:val="000000"/>
          <w:szCs w:val="21"/>
          <w:highlight w:val="none"/>
        </w:rPr>
      </w:pPr>
      <w:r>
        <w:rPr>
          <w:rFonts w:hint="eastAsia" w:ascii="Times New Roman" w:hAnsi="Times New Roman" w:eastAsia="黑体" w:cs="Times New Roman"/>
          <w:kern w:val="0"/>
          <w:szCs w:val="21"/>
          <w:highlight w:val="none"/>
        </w:rPr>
        <w:t>【来源</w:t>
      </w:r>
      <w:r>
        <w:rPr>
          <w:rFonts w:hint="eastAsia" w:ascii="Times New Roman" w:hAnsi="Times New Roman" w:eastAsia="黑体" w:cs="Times New Roman"/>
          <w:color w:val="000000"/>
          <w:szCs w:val="21"/>
          <w:highlight w:val="none"/>
        </w:rPr>
        <w:t>】</w:t>
      </w:r>
      <w:r>
        <w:rPr>
          <w:rFonts w:hint="eastAsia" w:ascii="Times New Roman" w:hAnsi="Times New Roman" w:eastAsia="黑体" w:cs="Times New Roman"/>
          <w:color w:val="000000"/>
          <w:szCs w:val="21"/>
          <w:highlight w:val="none"/>
          <w:lang w:val="en-US" w:eastAsia="zh-CN"/>
        </w:rPr>
        <w:t xml:space="preserve">  </w:t>
      </w:r>
      <w:r>
        <w:rPr>
          <w:rFonts w:hint="eastAsia" w:ascii="Times New Roman" w:hAnsi="Times New Roman" w:cs="Times New Roman"/>
          <w:szCs w:val="21"/>
          <w:highlight w:val="none"/>
        </w:rPr>
        <w:t xml:space="preserve">本品为大戟科植物甘遂Euphorbia </w:t>
      </w:r>
      <w:r>
        <w:rPr>
          <w:rFonts w:ascii="Times New Roman" w:hAnsi="Times New Roman" w:cs="Times New Roman"/>
          <w:i/>
          <w:szCs w:val="21"/>
          <w:highlight w:val="none"/>
        </w:rPr>
        <w:t>kansui</w:t>
      </w:r>
      <w:r>
        <w:rPr>
          <w:rFonts w:ascii="Times New Roman" w:hAnsi="Times New Roman" w:cs="Times New Roman"/>
          <w:szCs w:val="21"/>
          <w:highlight w:val="none"/>
        </w:rPr>
        <w:t xml:space="preserve"> T.</w:t>
      </w:r>
      <w:r>
        <w:rPr>
          <w:rFonts w:hint="eastAsia" w:ascii="Times New Roman" w:hAnsi="Times New Roman" w:cs="Times New Roman"/>
          <w:szCs w:val="21"/>
          <w:highlight w:val="none"/>
          <w:lang w:val="en-US" w:eastAsia="zh-CN"/>
        </w:rPr>
        <w:t xml:space="preserve"> </w:t>
      </w:r>
      <w:r>
        <w:rPr>
          <w:rFonts w:ascii="Times New Roman" w:hAnsi="Times New Roman" w:cs="Times New Roman"/>
          <w:szCs w:val="21"/>
          <w:highlight w:val="none"/>
        </w:rPr>
        <w:t>N.</w:t>
      </w:r>
      <w:r>
        <w:rPr>
          <w:rFonts w:hint="eastAsia" w:ascii="Times New Roman" w:hAnsi="Times New Roman" w:cs="Times New Roman"/>
          <w:szCs w:val="21"/>
          <w:highlight w:val="none"/>
          <w:lang w:val="en-US" w:eastAsia="zh-CN"/>
        </w:rPr>
        <w:t xml:space="preserve"> </w:t>
      </w:r>
      <w:r>
        <w:rPr>
          <w:rFonts w:ascii="Times New Roman" w:hAnsi="Times New Roman" w:cs="Times New Roman"/>
          <w:szCs w:val="21"/>
          <w:highlight w:val="none"/>
        </w:rPr>
        <w:t>Liou ex T.</w:t>
      </w:r>
      <w:r>
        <w:rPr>
          <w:rFonts w:hint="eastAsia" w:ascii="Times New Roman" w:hAnsi="Times New Roman" w:cs="Times New Roman"/>
          <w:szCs w:val="21"/>
          <w:highlight w:val="none"/>
          <w:lang w:val="en-US" w:eastAsia="zh-CN"/>
        </w:rPr>
        <w:t xml:space="preserve"> </w:t>
      </w:r>
      <w:r>
        <w:rPr>
          <w:rFonts w:ascii="Times New Roman" w:hAnsi="Times New Roman" w:cs="Times New Roman"/>
          <w:szCs w:val="21"/>
          <w:highlight w:val="none"/>
        </w:rPr>
        <w:t>P.</w:t>
      </w:r>
      <w:r>
        <w:rPr>
          <w:rFonts w:hint="eastAsia" w:ascii="Times New Roman" w:hAnsi="Times New Roman" w:cs="Times New Roman"/>
          <w:szCs w:val="21"/>
          <w:highlight w:val="none"/>
          <w:lang w:val="en-US" w:eastAsia="zh-CN"/>
        </w:rPr>
        <w:t xml:space="preserve"> </w:t>
      </w:r>
      <w:r>
        <w:rPr>
          <w:rFonts w:hint="eastAsia" w:ascii="Times New Roman" w:hAnsi="Times New Roman" w:cs="Times New Roman"/>
          <w:szCs w:val="21"/>
          <w:highlight w:val="none"/>
        </w:rPr>
        <w:t>Wang的干燥块根经炮制并按标准汤剂的主要质量标准加工制成的配方颗粒</w:t>
      </w:r>
      <w:r>
        <w:rPr>
          <w:rFonts w:hint="eastAsia" w:ascii="Times New Roman" w:hAnsi="Times New Roman" w:cs="Times New Roman"/>
          <w:kern w:val="0"/>
          <w:szCs w:val="21"/>
          <w:highlight w:val="none"/>
        </w:rPr>
        <w:t>。</w:t>
      </w:r>
    </w:p>
    <w:p>
      <w:pPr>
        <w:snapToGrid w:val="0"/>
        <w:spacing w:line="360" w:lineRule="auto"/>
        <w:ind w:firstLine="420" w:firstLineChars="200"/>
        <w:rPr>
          <w:rFonts w:ascii="Times New Roman" w:hAnsi="Times New Roman" w:cs="Times New Roman"/>
          <w:szCs w:val="21"/>
          <w:highlight w:val="none"/>
        </w:rPr>
      </w:pPr>
      <w:r>
        <w:rPr>
          <w:rFonts w:hint="eastAsia" w:ascii="Times New Roman" w:hAnsi="Times New Roman" w:eastAsia="黑体" w:cs="Times New Roman"/>
          <w:color w:val="000000"/>
          <w:szCs w:val="21"/>
          <w:highlight w:val="none"/>
        </w:rPr>
        <w:t>【制法】</w:t>
      </w:r>
      <w:r>
        <w:rPr>
          <w:rFonts w:hint="eastAsia" w:ascii="Times New Roman" w:hAnsi="Times New Roman" w:eastAsia="黑体" w:cs="Times New Roman"/>
          <w:color w:val="000000"/>
          <w:szCs w:val="21"/>
          <w:highlight w:val="none"/>
          <w:lang w:val="en-US" w:eastAsia="zh-CN"/>
        </w:rPr>
        <w:t xml:space="preserve">  </w:t>
      </w:r>
      <w:r>
        <w:rPr>
          <w:rFonts w:hint="eastAsia" w:ascii="Times New Roman" w:hAnsi="Times New Roman" w:cs="Times New Roman"/>
          <w:szCs w:val="21"/>
          <w:highlight w:val="none"/>
        </w:rPr>
        <w:t>取醋甘遂饮片1000</w:t>
      </w:r>
      <w:r>
        <w:rPr>
          <w:rFonts w:ascii="Times New Roman" w:hAnsi="Times New Roman" w:cs="Times New Roman"/>
          <w:szCs w:val="21"/>
          <w:highlight w:val="none"/>
        </w:rPr>
        <w:t>g</w:t>
      </w:r>
      <w:r>
        <w:rPr>
          <w:rFonts w:hint="eastAsia" w:ascii="Times New Roman" w:hAnsi="Times New Roman" w:cs="Times New Roman"/>
          <w:szCs w:val="21"/>
          <w:highlight w:val="none"/>
        </w:rPr>
        <w:t>，加水煎煮，滤过，滤液浓缩成清膏（干浸膏出膏率为9%~18%），加入辅料适量，干燥（或干燥，粉碎），再加入辅料适量，混匀，制粒，制成1000g，即得。</w:t>
      </w:r>
    </w:p>
    <w:p>
      <w:pPr>
        <w:snapToGrid w:val="0"/>
        <w:spacing w:line="360" w:lineRule="auto"/>
        <w:ind w:firstLine="420" w:firstLineChars="200"/>
        <w:rPr>
          <w:rFonts w:ascii="Times New Roman" w:hAnsi="Times New Roman" w:cs="Times New Roman"/>
          <w:sz w:val="24"/>
          <w:highlight w:val="none"/>
        </w:rPr>
      </w:pPr>
      <w:r>
        <w:rPr>
          <w:rFonts w:hint="eastAsia" w:ascii="Times New Roman" w:hAnsi="Times New Roman" w:eastAsia="黑体" w:cs="Times New Roman"/>
          <w:color w:val="000000"/>
          <w:szCs w:val="21"/>
          <w:highlight w:val="none"/>
        </w:rPr>
        <w:t>【性状】</w:t>
      </w:r>
      <w:r>
        <w:rPr>
          <w:rFonts w:hint="eastAsia" w:ascii="Times New Roman" w:hAnsi="Times New Roman" w:eastAsia="黑体" w:cs="Times New Roman"/>
          <w:color w:val="000000"/>
          <w:szCs w:val="21"/>
          <w:highlight w:val="none"/>
          <w:lang w:val="en-US" w:eastAsia="zh-CN"/>
        </w:rPr>
        <w:t xml:space="preserve">  </w:t>
      </w:r>
      <w:r>
        <w:rPr>
          <w:rFonts w:hint="eastAsia" w:ascii="Times New Roman" w:hAnsi="Times New Roman" w:cs="Times New Roman"/>
          <w:szCs w:val="21"/>
          <w:highlight w:val="none"/>
        </w:rPr>
        <w:t>本品为黄白色至棕褐色颗粒；气微，味微甘而微辣。</w:t>
      </w:r>
    </w:p>
    <w:p>
      <w:pPr>
        <w:snapToGrid w:val="0"/>
        <w:spacing w:line="360" w:lineRule="auto"/>
        <w:ind w:firstLine="420" w:firstLineChars="200"/>
        <w:rPr>
          <w:rFonts w:ascii="Times New Roman" w:hAnsi="Times New Roman" w:cs="Times New Roman"/>
          <w:szCs w:val="21"/>
          <w:highlight w:val="none"/>
        </w:rPr>
      </w:pPr>
      <w:r>
        <w:rPr>
          <w:rFonts w:hint="eastAsia" w:ascii="Times New Roman" w:hAnsi="Times New Roman" w:eastAsia="黑体" w:cs="Times New Roman"/>
          <w:szCs w:val="21"/>
          <w:highlight w:val="none"/>
        </w:rPr>
        <w:t>【鉴别】</w:t>
      </w:r>
      <w:r>
        <w:rPr>
          <w:rFonts w:hint="eastAsia" w:ascii="Times New Roman" w:hAnsi="Times New Roman" w:eastAsia="黑体" w:cs="Times New Roman"/>
          <w:szCs w:val="21"/>
          <w:highlight w:val="none"/>
          <w:lang w:val="en-US" w:eastAsia="zh-CN"/>
        </w:rPr>
        <w:t xml:space="preserve">  </w:t>
      </w:r>
      <w:r>
        <w:rPr>
          <w:rFonts w:hint="eastAsia" w:ascii="Times New Roman" w:hAnsi="Times New Roman" w:cs="Times New Roman"/>
          <w:szCs w:val="21"/>
          <w:highlight w:val="none"/>
        </w:rPr>
        <w:t>取本品适量，研细，取1g，加乙醇30ml，超声处理1小时，滤过，滤液挥干，残渣加甲醇3ml使溶解，作为供试品溶液。另取甘遂对照药材2g，加50ml水，煎煮30分钟，离心（3000转</w:t>
      </w:r>
      <w:r>
        <w:rPr>
          <w:rFonts w:ascii="Times New Roman" w:hAnsi="Times New Roman" w:cs="Times New Roman"/>
          <w:szCs w:val="21"/>
          <w:highlight w:val="none"/>
        </w:rPr>
        <w:t>/</w:t>
      </w:r>
      <w:r>
        <w:rPr>
          <w:rFonts w:hint="eastAsia" w:ascii="Times New Roman" w:hAnsi="Times New Roman" w:cs="Times New Roman"/>
          <w:szCs w:val="21"/>
          <w:highlight w:val="none"/>
        </w:rPr>
        <w:t>分钟）3分钟，取上清液，蒸至近干，加乙醇30ml，超声处理30分钟，滤过，滤液低温蒸至近干，残渣加甲醇3ml使溶解，作为甘遂对照药材溶液。照薄层色谱法（中国药典2020年版通则0502）试验，吸取上述两种溶液各</w:t>
      </w:r>
      <w:r>
        <w:rPr>
          <w:rFonts w:ascii="Times New Roman" w:hAnsi="Times New Roman" w:cs="Times New Roman"/>
          <w:szCs w:val="21"/>
          <w:highlight w:val="none"/>
        </w:rPr>
        <w:t>10μl</w:t>
      </w:r>
      <w:r>
        <w:rPr>
          <w:rFonts w:hint="eastAsia" w:ascii="Times New Roman" w:hAnsi="Times New Roman" w:cs="Times New Roman"/>
          <w:szCs w:val="21"/>
          <w:highlight w:val="none"/>
        </w:rPr>
        <w:t>；</w:t>
      </w:r>
      <w:r>
        <w:rPr>
          <w:rFonts w:hint="eastAsia" w:ascii="Times New Roman" w:hAnsi="Times New Roman" w:cs="Times New Roman"/>
          <w:color w:val="000000"/>
          <w:szCs w:val="21"/>
          <w:highlight w:val="none"/>
        </w:rPr>
        <w:t>分别点于同一硅胶GF</w:t>
      </w:r>
      <w:r>
        <w:rPr>
          <w:rFonts w:ascii="Times New Roman" w:hAnsi="Times New Roman" w:cs="Times New Roman"/>
          <w:color w:val="000000"/>
          <w:szCs w:val="21"/>
          <w:highlight w:val="none"/>
          <w:vertAlign w:val="subscript"/>
        </w:rPr>
        <w:t>254</w:t>
      </w:r>
      <w:r>
        <w:rPr>
          <w:rFonts w:hint="eastAsia" w:ascii="Times New Roman" w:hAnsi="Times New Roman" w:cs="Times New Roman"/>
          <w:color w:val="000000"/>
          <w:szCs w:val="21"/>
          <w:highlight w:val="none"/>
        </w:rPr>
        <w:t xml:space="preserve"> 薄层板上，以</w:t>
      </w:r>
      <w:r>
        <w:rPr>
          <w:rFonts w:hint="eastAsia" w:ascii="Times New Roman" w:hAnsi="Times New Roman" w:cs="Times New Roman"/>
          <w:szCs w:val="21"/>
          <w:highlight w:val="none"/>
        </w:rPr>
        <w:t>甲苯</w:t>
      </w:r>
      <w:r>
        <w:rPr>
          <w:rFonts w:ascii="Times New Roman" w:hAnsi="Times New Roman" w:cs="Times New Roman"/>
          <w:szCs w:val="21"/>
          <w:highlight w:val="none"/>
        </w:rPr>
        <w:t>-</w:t>
      </w:r>
      <w:r>
        <w:rPr>
          <w:rFonts w:hint="eastAsia" w:ascii="Times New Roman" w:hAnsi="Times New Roman" w:cs="Times New Roman"/>
          <w:szCs w:val="21"/>
          <w:highlight w:val="none"/>
        </w:rPr>
        <w:t>丙酮（</w:t>
      </w:r>
      <w:r>
        <w:rPr>
          <w:rFonts w:ascii="Times New Roman" w:hAnsi="Times New Roman" w:cs="Times New Roman"/>
          <w:szCs w:val="21"/>
          <w:highlight w:val="none"/>
        </w:rPr>
        <w:t>10</w:t>
      </w:r>
      <w:r>
        <w:rPr>
          <w:rFonts w:hint="eastAsia" w:ascii="Times New Roman" w:hAnsi="Times New Roman" w:cs="Times New Roman"/>
          <w:szCs w:val="21"/>
          <w:highlight w:val="none"/>
        </w:rPr>
        <w:t>∶</w:t>
      </w:r>
      <w:r>
        <w:rPr>
          <w:rFonts w:ascii="Times New Roman" w:hAnsi="Times New Roman" w:cs="Times New Roman"/>
          <w:szCs w:val="21"/>
          <w:highlight w:val="none"/>
        </w:rPr>
        <w:t>1.2</w:t>
      </w:r>
      <w:r>
        <w:rPr>
          <w:rFonts w:hint="eastAsia" w:ascii="Times New Roman" w:hAnsi="Times New Roman" w:cs="Times New Roman"/>
          <w:szCs w:val="21"/>
          <w:highlight w:val="none"/>
        </w:rPr>
        <w:t>）为展开剂，在氨蒸气饱和条件下展开，取出，晾干，</w:t>
      </w:r>
      <w:r>
        <w:rPr>
          <w:rFonts w:hint="eastAsia" w:ascii="Times New Roman" w:hAnsi="Times New Roman" w:cs="Times New Roman"/>
          <w:color w:val="000000"/>
          <w:szCs w:val="21"/>
          <w:highlight w:val="none"/>
        </w:rPr>
        <w:t>喷以10%硫酸乙醇溶液，在105℃加热至斑点显色清晰</w:t>
      </w:r>
      <w:r>
        <w:rPr>
          <w:rFonts w:hint="eastAsia" w:ascii="Times New Roman" w:hAnsi="Times New Roman" w:cs="Times New Roman"/>
          <w:szCs w:val="21"/>
          <w:highlight w:val="none"/>
        </w:rPr>
        <w:t>，置紫外光灯（365nm）下检视</w:t>
      </w:r>
      <w:r>
        <w:rPr>
          <w:rFonts w:hint="eastAsia" w:ascii="Times New Roman" w:hAnsi="Times New Roman" w:cs="Times New Roman"/>
          <w:color w:val="000000"/>
          <w:szCs w:val="21"/>
          <w:highlight w:val="none"/>
        </w:rPr>
        <w:t>。供试品色谱中，在与对照药材色谱相对应的位置上，显示相同颜色的荧光主斑点。</w:t>
      </w:r>
    </w:p>
    <w:p>
      <w:pPr>
        <w:widowControl/>
        <w:snapToGrid w:val="0"/>
        <w:spacing w:line="360" w:lineRule="auto"/>
        <w:ind w:firstLine="420" w:firstLineChars="200"/>
        <w:rPr>
          <w:rFonts w:ascii="Times New Roman" w:hAnsi="Times New Roman" w:eastAsia="黑体" w:cs="Times New Roman"/>
          <w:szCs w:val="21"/>
          <w:highlight w:val="none"/>
        </w:rPr>
      </w:pPr>
      <w:r>
        <w:rPr>
          <w:rFonts w:hint="eastAsia" w:ascii="Times New Roman" w:hAnsi="Times New Roman" w:eastAsia="黑体" w:cs="Times New Roman"/>
          <w:szCs w:val="21"/>
          <w:highlight w:val="none"/>
        </w:rPr>
        <w:t>【特征图谱】</w:t>
      </w:r>
      <w:r>
        <w:rPr>
          <w:rFonts w:ascii="Times New Roman" w:hAnsi="Times New Roman" w:eastAsia="黑体" w:cs="Times New Roman"/>
          <w:szCs w:val="21"/>
          <w:highlight w:val="none"/>
        </w:rPr>
        <w:t xml:space="preserve"> </w:t>
      </w:r>
      <w:r>
        <w:rPr>
          <w:rFonts w:hint="eastAsia" w:ascii="Times New Roman" w:hAnsi="Times New Roman" w:eastAsia="黑体" w:cs="Times New Roman"/>
          <w:szCs w:val="21"/>
          <w:highlight w:val="none"/>
          <w:lang w:val="en-US" w:eastAsia="zh-CN"/>
        </w:rPr>
        <w:t xml:space="preserve"> </w:t>
      </w:r>
      <w:r>
        <w:rPr>
          <w:rFonts w:hint="eastAsia" w:ascii="Times New Roman" w:hAnsi="Times New Roman" w:cs="Times New Roman"/>
          <w:bCs/>
          <w:szCs w:val="21"/>
          <w:highlight w:val="none"/>
        </w:rPr>
        <w:t>照高效液相色谱法（中国药典</w:t>
      </w:r>
      <w:r>
        <w:rPr>
          <w:rFonts w:ascii="Times New Roman" w:hAnsi="Times New Roman" w:cs="Times New Roman"/>
          <w:bCs/>
          <w:szCs w:val="21"/>
          <w:highlight w:val="none"/>
        </w:rPr>
        <w:t>2020</w:t>
      </w:r>
      <w:r>
        <w:rPr>
          <w:rFonts w:hint="eastAsia" w:ascii="Times New Roman" w:hAnsi="Times New Roman" w:cs="Times New Roman"/>
          <w:bCs/>
          <w:szCs w:val="21"/>
          <w:highlight w:val="none"/>
        </w:rPr>
        <w:t>年版通则</w:t>
      </w:r>
      <w:r>
        <w:rPr>
          <w:rFonts w:ascii="Times New Roman" w:hAnsi="Times New Roman" w:cs="Times New Roman"/>
          <w:bCs/>
          <w:szCs w:val="21"/>
          <w:highlight w:val="none"/>
        </w:rPr>
        <w:t>0512</w:t>
      </w:r>
      <w:r>
        <w:rPr>
          <w:rFonts w:hint="eastAsia" w:ascii="Times New Roman" w:hAnsi="Times New Roman" w:cs="Times New Roman"/>
          <w:bCs/>
          <w:szCs w:val="21"/>
          <w:highlight w:val="none"/>
        </w:rPr>
        <w:t>）测定。</w:t>
      </w:r>
    </w:p>
    <w:p>
      <w:pPr>
        <w:widowControl/>
        <w:snapToGrid w:val="0"/>
        <w:spacing w:line="360" w:lineRule="auto"/>
        <w:ind w:firstLine="420" w:firstLineChars="200"/>
        <w:rPr>
          <w:rFonts w:ascii="Times New Roman" w:hAnsi="Times New Roman" w:cs="Times New Roman"/>
          <w:kern w:val="0"/>
          <w:szCs w:val="21"/>
          <w:highlight w:val="none"/>
          <w:lang w:bidi="en-US"/>
        </w:rPr>
      </w:pPr>
      <w:r>
        <w:rPr>
          <w:rFonts w:hint="eastAsia" w:ascii="Times New Roman" w:hAnsi="Times New Roman" w:eastAsia="黑体" w:cs="Times New Roman"/>
          <w:szCs w:val="21"/>
          <w:highlight w:val="none"/>
        </w:rPr>
        <w:t>色谱条件与系统适用性试验</w:t>
      </w:r>
      <w:r>
        <w:rPr>
          <w:rFonts w:hint="eastAsia" w:ascii="Times New Roman" w:hAnsi="Times New Roman" w:eastAsia="黑体" w:cs="Times New Roman"/>
          <w:szCs w:val="21"/>
          <w:highlight w:val="none"/>
          <w:lang w:val="en-US" w:eastAsia="zh-CN"/>
        </w:rPr>
        <w:t xml:space="preserve">  </w:t>
      </w:r>
      <w:r>
        <w:rPr>
          <w:rFonts w:hint="eastAsia" w:ascii="Times New Roman" w:hAnsi="Times New Roman" w:cs="Times New Roman"/>
          <w:szCs w:val="21"/>
          <w:highlight w:val="none"/>
          <w:lang w:bidi="en-US"/>
        </w:rPr>
        <w:t>以十八烷基硅烷键合硅胶为填充剂；以甲醇为流动相A，以水为流动相B，按下表中的规定进行梯度洗脱；柱温为20℃；</w:t>
      </w:r>
      <w:r>
        <w:rPr>
          <w:rFonts w:hint="eastAsia" w:ascii="Times New Roman" w:hAnsi="Times New Roman" w:cs="Times New Roman"/>
          <w:szCs w:val="21"/>
          <w:highlight w:val="none"/>
        </w:rPr>
        <w:t>检测波长为260nm，理论板数按腺苷峰计算应不低于8000。</w:t>
      </w:r>
    </w:p>
    <w:tbl>
      <w:tblPr>
        <w:tblStyle w:val="10"/>
        <w:tblW w:w="8522" w:type="dxa"/>
        <w:jc w:val="center"/>
        <w:tblInd w:w="0" w:type="dxa"/>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840"/>
        <w:gridCol w:w="2840"/>
        <w:gridCol w:w="2842"/>
      </w:tblGrid>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3" w:hRule="atLeast"/>
          <w:jc w:val="center"/>
        </w:trPr>
        <w:tc>
          <w:tcPr>
            <w:tcW w:w="2840" w:type="dxa"/>
            <w:tcBorders>
              <w:bottom w:val="single" w:color="auto" w:sz="4" w:space="0"/>
            </w:tcBorders>
            <w:vAlign w:val="center"/>
          </w:tcPr>
          <w:p>
            <w:pPr>
              <w:jc w:val="center"/>
              <w:rPr>
                <w:rFonts w:ascii="Times New Roman" w:hAnsi="Times New Roman" w:cs="Times New Roman"/>
                <w:color w:val="000000"/>
                <w:sz w:val="18"/>
                <w:szCs w:val="18"/>
                <w:highlight w:val="none"/>
              </w:rPr>
            </w:pPr>
            <w:r>
              <w:rPr>
                <w:rFonts w:hint="eastAsia" w:ascii="Times New Roman" w:hAnsi="Times New Roman" w:cs="Times New Roman"/>
                <w:color w:val="000000"/>
                <w:sz w:val="18"/>
                <w:szCs w:val="18"/>
                <w:highlight w:val="none"/>
              </w:rPr>
              <w:t>时间（分钟）</w:t>
            </w:r>
          </w:p>
        </w:tc>
        <w:tc>
          <w:tcPr>
            <w:tcW w:w="2840" w:type="dxa"/>
            <w:tcBorders>
              <w:bottom w:val="single" w:color="auto" w:sz="4" w:space="0"/>
            </w:tcBorders>
            <w:vAlign w:val="center"/>
          </w:tcPr>
          <w:p>
            <w:pPr>
              <w:jc w:val="center"/>
              <w:rPr>
                <w:rFonts w:ascii="Times New Roman" w:hAnsi="Times New Roman" w:cs="Times New Roman"/>
                <w:color w:val="000000"/>
                <w:sz w:val="18"/>
                <w:szCs w:val="18"/>
                <w:highlight w:val="none"/>
              </w:rPr>
            </w:pPr>
            <w:r>
              <w:rPr>
                <w:rFonts w:hint="eastAsia" w:ascii="Times New Roman" w:hAnsi="Times New Roman" w:cs="Times New Roman"/>
                <w:color w:val="000000"/>
                <w:sz w:val="18"/>
                <w:szCs w:val="18"/>
                <w:highlight w:val="none"/>
              </w:rPr>
              <w:t>流动相</w:t>
            </w:r>
            <w:r>
              <w:rPr>
                <w:rFonts w:ascii="Times New Roman" w:hAnsi="Times New Roman" w:cs="Times New Roman"/>
                <w:color w:val="000000"/>
                <w:sz w:val="18"/>
                <w:szCs w:val="18"/>
                <w:highlight w:val="none"/>
              </w:rPr>
              <w:t>A</w:t>
            </w:r>
            <w:r>
              <w:rPr>
                <w:rFonts w:hint="eastAsia" w:ascii="Times New Roman" w:hAnsi="Times New Roman" w:cs="Times New Roman"/>
                <w:color w:val="000000"/>
                <w:sz w:val="18"/>
                <w:szCs w:val="18"/>
                <w:highlight w:val="none"/>
              </w:rPr>
              <w:t>（</w:t>
            </w:r>
            <w:r>
              <w:rPr>
                <w:rFonts w:ascii="Times New Roman" w:hAnsi="Times New Roman" w:cs="Times New Roman"/>
                <w:color w:val="000000"/>
                <w:sz w:val="18"/>
                <w:szCs w:val="18"/>
                <w:highlight w:val="none"/>
              </w:rPr>
              <w:t>%</w:t>
            </w:r>
            <w:r>
              <w:rPr>
                <w:rFonts w:hint="eastAsia" w:ascii="Times New Roman" w:hAnsi="Times New Roman" w:cs="Times New Roman"/>
                <w:color w:val="000000"/>
                <w:sz w:val="18"/>
                <w:szCs w:val="18"/>
                <w:highlight w:val="none"/>
              </w:rPr>
              <w:t>）</w:t>
            </w:r>
          </w:p>
        </w:tc>
        <w:tc>
          <w:tcPr>
            <w:tcW w:w="2842" w:type="dxa"/>
            <w:tcBorders>
              <w:bottom w:val="single" w:color="auto" w:sz="4" w:space="0"/>
            </w:tcBorders>
            <w:vAlign w:val="center"/>
          </w:tcPr>
          <w:p>
            <w:pPr>
              <w:jc w:val="center"/>
              <w:rPr>
                <w:rFonts w:ascii="Times New Roman" w:hAnsi="Times New Roman" w:cs="Times New Roman"/>
                <w:color w:val="000000"/>
                <w:sz w:val="18"/>
                <w:szCs w:val="18"/>
                <w:highlight w:val="none"/>
              </w:rPr>
            </w:pPr>
            <w:r>
              <w:rPr>
                <w:rFonts w:hint="eastAsia" w:ascii="Times New Roman" w:hAnsi="Times New Roman" w:cs="Times New Roman"/>
                <w:color w:val="000000"/>
                <w:sz w:val="18"/>
                <w:szCs w:val="18"/>
                <w:highlight w:val="none"/>
              </w:rPr>
              <w:t>流动相</w:t>
            </w:r>
            <w:r>
              <w:rPr>
                <w:rFonts w:ascii="Times New Roman" w:hAnsi="Times New Roman" w:cs="Times New Roman"/>
                <w:color w:val="000000"/>
                <w:sz w:val="18"/>
                <w:szCs w:val="18"/>
                <w:highlight w:val="none"/>
              </w:rPr>
              <w:t>B</w:t>
            </w:r>
            <w:r>
              <w:rPr>
                <w:rFonts w:hint="eastAsia" w:ascii="Times New Roman" w:hAnsi="Times New Roman" w:cs="Times New Roman"/>
                <w:color w:val="000000"/>
                <w:sz w:val="18"/>
                <w:szCs w:val="18"/>
                <w:highlight w:val="none"/>
              </w:rPr>
              <w:t>（</w:t>
            </w:r>
            <w:r>
              <w:rPr>
                <w:rFonts w:ascii="Times New Roman" w:hAnsi="Times New Roman" w:cs="Times New Roman"/>
                <w:color w:val="000000"/>
                <w:sz w:val="18"/>
                <w:szCs w:val="18"/>
                <w:highlight w:val="none"/>
              </w:rPr>
              <w:t>%</w:t>
            </w:r>
            <w:r>
              <w:rPr>
                <w:rFonts w:hint="eastAsia" w:ascii="Times New Roman" w:hAnsi="Times New Roman" w:cs="Times New Roman"/>
                <w:color w:val="000000"/>
                <w:sz w:val="18"/>
                <w:szCs w:val="18"/>
                <w:highlight w:val="none"/>
              </w:rPr>
              <w:t>）</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3" w:hRule="atLeast"/>
          <w:jc w:val="center"/>
        </w:trPr>
        <w:tc>
          <w:tcPr>
            <w:tcW w:w="2840" w:type="dxa"/>
            <w:tcBorders>
              <w:top w:val="single" w:color="auto" w:sz="4" w:space="0"/>
            </w:tcBorders>
            <w:vAlign w:val="center"/>
          </w:tcPr>
          <w:p>
            <w:pPr>
              <w:snapToGrid w:val="0"/>
              <w:jc w:val="center"/>
              <w:rPr>
                <w:rFonts w:ascii="Times New Roman" w:hAnsi="Times New Roman" w:cs="Times New Roman"/>
                <w:sz w:val="18"/>
                <w:szCs w:val="18"/>
                <w:highlight w:val="none"/>
              </w:rPr>
            </w:pPr>
            <w:r>
              <w:rPr>
                <w:rFonts w:ascii="Times New Roman" w:hAnsi="Times New Roman" w:cs="Times New Roman"/>
                <w:sz w:val="18"/>
                <w:szCs w:val="18"/>
                <w:highlight w:val="none"/>
              </w:rPr>
              <w:t>0~12</w:t>
            </w:r>
          </w:p>
        </w:tc>
        <w:tc>
          <w:tcPr>
            <w:tcW w:w="2840" w:type="dxa"/>
            <w:tcBorders>
              <w:top w:val="single" w:color="auto" w:sz="4" w:space="0"/>
            </w:tcBorders>
            <w:vAlign w:val="center"/>
          </w:tcPr>
          <w:p>
            <w:pPr>
              <w:snapToGrid w:val="0"/>
              <w:jc w:val="center"/>
              <w:rPr>
                <w:rFonts w:ascii="Times New Roman" w:hAnsi="Times New Roman" w:cs="Times New Roman"/>
                <w:sz w:val="18"/>
                <w:szCs w:val="18"/>
                <w:highlight w:val="none"/>
              </w:rPr>
            </w:pPr>
            <w:r>
              <w:rPr>
                <w:rFonts w:ascii="Times New Roman" w:hAnsi="Times New Roman" w:cs="Times New Roman"/>
                <w:sz w:val="18"/>
                <w:szCs w:val="18"/>
                <w:highlight w:val="none"/>
              </w:rPr>
              <w:t>3~5</w:t>
            </w:r>
          </w:p>
        </w:tc>
        <w:tc>
          <w:tcPr>
            <w:tcW w:w="2842" w:type="dxa"/>
            <w:tcBorders>
              <w:top w:val="single" w:color="auto" w:sz="4" w:space="0"/>
            </w:tcBorders>
            <w:vAlign w:val="center"/>
          </w:tcPr>
          <w:p>
            <w:pPr>
              <w:snapToGrid w:val="0"/>
              <w:jc w:val="center"/>
              <w:rPr>
                <w:rFonts w:ascii="Times New Roman" w:hAnsi="Times New Roman" w:cs="Times New Roman"/>
                <w:sz w:val="18"/>
                <w:szCs w:val="18"/>
                <w:highlight w:val="none"/>
              </w:rPr>
            </w:pPr>
            <w:r>
              <w:rPr>
                <w:rFonts w:ascii="Times New Roman" w:hAnsi="Times New Roman" w:cs="Times New Roman"/>
                <w:sz w:val="18"/>
                <w:szCs w:val="18"/>
                <w:highlight w:val="none"/>
              </w:rPr>
              <w:t>97~95</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3" w:hRule="atLeast"/>
          <w:jc w:val="center"/>
        </w:trPr>
        <w:tc>
          <w:tcPr>
            <w:tcW w:w="2840" w:type="dxa"/>
            <w:vAlign w:val="center"/>
          </w:tcPr>
          <w:p>
            <w:pPr>
              <w:snapToGrid w:val="0"/>
              <w:jc w:val="center"/>
              <w:rPr>
                <w:rFonts w:ascii="Times New Roman" w:hAnsi="Times New Roman" w:cs="Times New Roman"/>
                <w:sz w:val="18"/>
                <w:szCs w:val="18"/>
                <w:highlight w:val="none"/>
              </w:rPr>
            </w:pPr>
            <w:r>
              <w:rPr>
                <w:rFonts w:ascii="Times New Roman" w:hAnsi="Times New Roman" w:cs="Times New Roman"/>
                <w:sz w:val="18"/>
                <w:szCs w:val="18"/>
                <w:highlight w:val="none"/>
              </w:rPr>
              <w:t>12~15</w:t>
            </w:r>
          </w:p>
        </w:tc>
        <w:tc>
          <w:tcPr>
            <w:tcW w:w="2840" w:type="dxa"/>
            <w:vAlign w:val="center"/>
          </w:tcPr>
          <w:p>
            <w:pPr>
              <w:snapToGrid w:val="0"/>
              <w:jc w:val="center"/>
              <w:rPr>
                <w:rFonts w:ascii="Times New Roman" w:hAnsi="Times New Roman" w:cs="Times New Roman"/>
                <w:sz w:val="18"/>
                <w:szCs w:val="18"/>
                <w:highlight w:val="none"/>
              </w:rPr>
            </w:pPr>
            <w:r>
              <w:rPr>
                <w:rFonts w:ascii="Times New Roman" w:hAnsi="Times New Roman" w:cs="Times New Roman"/>
                <w:sz w:val="18"/>
                <w:szCs w:val="18"/>
                <w:highlight w:val="none"/>
              </w:rPr>
              <w:t>5~10</w:t>
            </w:r>
          </w:p>
        </w:tc>
        <w:tc>
          <w:tcPr>
            <w:tcW w:w="2842" w:type="dxa"/>
            <w:vAlign w:val="center"/>
          </w:tcPr>
          <w:p>
            <w:pPr>
              <w:snapToGrid w:val="0"/>
              <w:jc w:val="center"/>
              <w:rPr>
                <w:rFonts w:ascii="Times New Roman" w:hAnsi="Times New Roman" w:cs="Times New Roman"/>
                <w:sz w:val="18"/>
                <w:szCs w:val="18"/>
                <w:highlight w:val="none"/>
              </w:rPr>
            </w:pPr>
            <w:r>
              <w:rPr>
                <w:rFonts w:ascii="Times New Roman" w:hAnsi="Times New Roman" w:cs="Times New Roman"/>
                <w:sz w:val="18"/>
                <w:szCs w:val="18"/>
                <w:highlight w:val="none"/>
              </w:rPr>
              <w:t>95~90</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3" w:hRule="atLeast"/>
          <w:jc w:val="center"/>
        </w:trPr>
        <w:tc>
          <w:tcPr>
            <w:tcW w:w="2840" w:type="dxa"/>
            <w:vAlign w:val="center"/>
          </w:tcPr>
          <w:p>
            <w:pPr>
              <w:snapToGrid w:val="0"/>
              <w:jc w:val="center"/>
              <w:rPr>
                <w:rFonts w:ascii="Times New Roman" w:hAnsi="Times New Roman" w:cs="Times New Roman"/>
                <w:sz w:val="18"/>
                <w:szCs w:val="18"/>
                <w:highlight w:val="none"/>
              </w:rPr>
            </w:pPr>
            <w:r>
              <w:rPr>
                <w:rFonts w:ascii="Times New Roman" w:hAnsi="Times New Roman" w:cs="Times New Roman"/>
                <w:sz w:val="18"/>
                <w:szCs w:val="18"/>
                <w:highlight w:val="none"/>
              </w:rPr>
              <w:t>15~20</w:t>
            </w:r>
          </w:p>
        </w:tc>
        <w:tc>
          <w:tcPr>
            <w:tcW w:w="2840" w:type="dxa"/>
            <w:vAlign w:val="center"/>
          </w:tcPr>
          <w:p>
            <w:pPr>
              <w:snapToGrid w:val="0"/>
              <w:jc w:val="center"/>
              <w:rPr>
                <w:rFonts w:ascii="Times New Roman" w:hAnsi="Times New Roman" w:cs="Times New Roman"/>
                <w:sz w:val="18"/>
                <w:szCs w:val="18"/>
                <w:highlight w:val="none"/>
              </w:rPr>
            </w:pPr>
            <w:r>
              <w:rPr>
                <w:rFonts w:ascii="Times New Roman" w:hAnsi="Times New Roman" w:cs="Times New Roman"/>
                <w:sz w:val="18"/>
                <w:szCs w:val="18"/>
                <w:highlight w:val="none"/>
              </w:rPr>
              <w:t>10~13</w:t>
            </w:r>
          </w:p>
        </w:tc>
        <w:tc>
          <w:tcPr>
            <w:tcW w:w="2842" w:type="dxa"/>
            <w:vAlign w:val="center"/>
          </w:tcPr>
          <w:p>
            <w:pPr>
              <w:snapToGrid w:val="0"/>
              <w:jc w:val="center"/>
              <w:rPr>
                <w:rFonts w:ascii="Times New Roman" w:hAnsi="Times New Roman" w:cs="Times New Roman"/>
                <w:sz w:val="18"/>
                <w:szCs w:val="18"/>
                <w:highlight w:val="none"/>
              </w:rPr>
            </w:pPr>
            <w:r>
              <w:rPr>
                <w:rFonts w:ascii="Times New Roman" w:hAnsi="Times New Roman" w:cs="Times New Roman"/>
                <w:sz w:val="18"/>
                <w:szCs w:val="18"/>
                <w:highlight w:val="none"/>
              </w:rPr>
              <w:t>90~87</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3" w:hRule="atLeast"/>
          <w:jc w:val="center"/>
        </w:trPr>
        <w:tc>
          <w:tcPr>
            <w:tcW w:w="2840" w:type="dxa"/>
            <w:vAlign w:val="center"/>
          </w:tcPr>
          <w:p>
            <w:pPr>
              <w:snapToGrid w:val="0"/>
              <w:jc w:val="center"/>
              <w:rPr>
                <w:rFonts w:ascii="Times New Roman" w:hAnsi="Times New Roman" w:cs="Times New Roman"/>
                <w:sz w:val="18"/>
                <w:szCs w:val="18"/>
                <w:highlight w:val="none"/>
              </w:rPr>
            </w:pPr>
            <w:r>
              <w:rPr>
                <w:rFonts w:ascii="Times New Roman" w:hAnsi="Times New Roman" w:cs="Times New Roman"/>
                <w:sz w:val="18"/>
                <w:szCs w:val="18"/>
                <w:highlight w:val="none"/>
              </w:rPr>
              <w:t>20~30</w:t>
            </w:r>
          </w:p>
        </w:tc>
        <w:tc>
          <w:tcPr>
            <w:tcW w:w="2840" w:type="dxa"/>
            <w:vAlign w:val="center"/>
          </w:tcPr>
          <w:p>
            <w:pPr>
              <w:snapToGrid w:val="0"/>
              <w:jc w:val="center"/>
              <w:rPr>
                <w:rFonts w:ascii="Times New Roman" w:hAnsi="Times New Roman" w:cs="Times New Roman"/>
                <w:sz w:val="18"/>
                <w:szCs w:val="18"/>
                <w:highlight w:val="none"/>
              </w:rPr>
            </w:pPr>
            <w:r>
              <w:rPr>
                <w:rFonts w:ascii="Times New Roman" w:hAnsi="Times New Roman" w:cs="Times New Roman"/>
                <w:sz w:val="18"/>
                <w:szCs w:val="18"/>
                <w:highlight w:val="none"/>
              </w:rPr>
              <w:t>13~20</w:t>
            </w:r>
          </w:p>
        </w:tc>
        <w:tc>
          <w:tcPr>
            <w:tcW w:w="2842" w:type="dxa"/>
            <w:vAlign w:val="center"/>
          </w:tcPr>
          <w:p>
            <w:pPr>
              <w:snapToGrid w:val="0"/>
              <w:jc w:val="center"/>
              <w:rPr>
                <w:rFonts w:ascii="Times New Roman" w:hAnsi="Times New Roman" w:cs="Times New Roman"/>
                <w:sz w:val="18"/>
                <w:szCs w:val="18"/>
                <w:highlight w:val="none"/>
              </w:rPr>
            </w:pPr>
            <w:r>
              <w:rPr>
                <w:rFonts w:ascii="Times New Roman" w:hAnsi="Times New Roman" w:cs="Times New Roman"/>
                <w:sz w:val="18"/>
                <w:szCs w:val="18"/>
                <w:highlight w:val="none"/>
              </w:rPr>
              <w:t>87~80</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3" w:hRule="atLeast"/>
          <w:jc w:val="center"/>
        </w:trPr>
        <w:tc>
          <w:tcPr>
            <w:tcW w:w="2840" w:type="dxa"/>
            <w:vAlign w:val="center"/>
          </w:tcPr>
          <w:p>
            <w:pPr>
              <w:snapToGrid w:val="0"/>
              <w:jc w:val="center"/>
              <w:rPr>
                <w:rFonts w:ascii="Times New Roman" w:hAnsi="Times New Roman" w:cs="Times New Roman"/>
                <w:sz w:val="18"/>
                <w:szCs w:val="18"/>
                <w:highlight w:val="none"/>
              </w:rPr>
            </w:pPr>
            <w:r>
              <w:rPr>
                <w:rFonts w:ascii="Times New Roman" w:hAnsi="Times New Roman" w:cs="Times New Roman"/>
                <w:sz w:val="18"/>
                <w:szCs w:val="18"/>
                <w:highlight w:val="none"/>
              </w:rPr>
              <w:t>30~35</w:t>
            </w:r>
          </w:p>
        </w:tc>
        <w:tc>
          <w:tcPr>
            <w:tcW w:w="2840" w:type="dxa"/>
            <w:vAlign w:val="center"/>
          </w:tcPr>
          <w:p>
            <w:pPr>
              <w:snapToGrid w:val="0"/>
              <w:jc w:val="center"/>
              <w:rPr>
                <w:rFonts w:ascii="Times New Roman" w:hAnsi="Times New Roman" w:cs="Times New Roman"/>
                <w:sz w:val="18"/>
                <w:szCs w:val="18"/>
                <w:highlight w:val="none"/>
              </w:rPr>
            </w:pPr>
            <w:r>
              <w:rPr>
                <w:rFonts w:ascii="Times New Roman" w:hAnsi="Times New Roman" w:cs="Times New Roman"/>
                <w:sz w:val="18"/>
                <w:szCs w:val="18"/>
                <w:highlight w:val="none"/>
              </w:rPr>
              <w:t>20~20</w:t>
            </w:r>
          </w:p>
        </w:tc>
        <w:tc>
          <w:tcPr>
            <w:tcW w:w="2842" w:type="dxa"/>
            <w:vAlign w:val="center"/>
          </w:tcPr>
          <w:p>
            <w:pPr>
              <w:snapToGrid w:val="0"/>
              <w:jc w:val="center"/>
              <w:rPr>
                <w:rFonts w:ascii="Times New Roman" w:hAnsi="Times New Roman" w:cs="Times New Roman"/>
                <w:sz w:val="18"/>
                <w:szCs w:val="18"/>
                <w:highlight w:val="none"/>
              </w:rPr>
            </w:pPr>
            <w:r>
              <w:rPr>
                <w:rFonts w:ascii="Times New Roman" w:hAnsi="Times New Roman" w:cs="Times New Roman"/>
                <w:sz w:val="18"/>
                <w:szCs w:val="18"/>
                <w:highlight w:val="none"/>
              </w:rPr>
              <w:t>80~80</w:t>
            </w:r>
          </w:p>
        </w:tc>
      </w:tr>
    </w:tbl>
    <w:p>
      <w:pPr>
        <w:snapToGrid w:val="0"/>
        <w:spacing w:beforeLines="50" w:line="360" w:lineRule="auto"/>
        <w:ind w:firstLine="420" w:firstLineChars="200"/>
        <w:rPr>
          <w:rFonts w:ascii="Times New Roman" w:hAnsi="Times New Roman" w:cs="Times New Roman"/>
          <w:szCs w:val="21"/>
          <w:highlight w:val="none"/>
        </w:rPr>
      </w:pPr>
      <w:r>
        <w:rPr>
          <w:rFonts w:hint="eastAsia" w:ascii="Times New Roman" w:hAnsi="Times New Roman" w:eastAsia="黑体" w:cs="Times New Roman"/>
          <w:szCs w:val="21"/>
          <w:highlight w:val="none"/>
        </w:rPr>
        <w:t>参照物溶液的制备</w:t>
      </w:r>
      <w:r>
        <w:rPr>
          <w:rFonts w:hint="eastAsia" w:ascii="Times New Roman" w:hAnsi="Times New Roman" w:eastAsia="黑体" w:cs="Times New Roman"/>
          <w:szCs w:val="21"/>
          <w:highlight w:val="none"/>
          <w:lang w:val="en-US" w:eastAsia="zh-CN"/>
        </w:rPr>
        <w:t xml:space="preserve">  </w:t>
      </w:r>
      <w:r>
        <w:rPr>
          <w:rFonts w:hint="eastAsia" w:ascii="Times New Roman" w:hAnsi="Times New Roman" w:cs="Times New Roman"/>
          <w:szCs w:val="21"/>
          <w:highlight w:val="none"/>
        </w:rPr>
        <w:t>取甘遂对照药材2g，加20%甲醇溶液20ml，超声处理（功率600W，频率40kHz）30分钟，放冷，</w:t>
      </w:r>
      <w:r>
        <w:rPr>
          <w:rFonts w:hint="eastAsia" w:ascii="Times New Roman" w:hAnsi="Times New Roman" w:cs="Times New Roman"/>
          <w:color w:val="000000"/>
          <w:szCs w:val="21"/>
          <w:highlight w:val="none"/>
        </w:rPr>
        <w:t>摇匀，滤过，取续滤液，</w:t>
      </w:r>
      <w:r>
        <w:rPr>
          <w:rFonts w:hint="eastAsia" w:ascii="Times New Roman" w:hAnsi="Times New Roman" w:cs="Times New Roman"/>
          <w:szCs w:val="21"/>
          <w:highlight w:val="none"/>
        </w:rPr>
        <w:t>作为对照药材参照物溶液</w:t>
      </w:r>
      <w:r>
        <w:rPr>
          <w:rFonts w:hint="eastAsia" w:ascii="Times New Roman" w:hAnsi="Times New Roman" w:cs="Times New Roman"/>
          <w:color w:val="000000"/>
          <w:szCs w:val="21"/>
          <w:highlight w:val="none"/>
        </w:rPr>
        <w:t>。另取</w:t>
      </w:r>
      <w:r>
        <w:rPr>
          <w:rFonts w:hint="eastAsia" w:ascii="Times New Roman" w:hAnsi="Times New Roman" w:cs="Times New Roman"/>
          <w:szCs w:val="21"/>
          <w:highlight w:val="none"/>
        </w:rPr>
        <w:t>取腺苷对照品适量，加20%甲醇制成每1ml含10μg的溶液，作为对照品参照物溶液。</w:t>
      </w:r>
    </w:p>
    <w:p>
      <w:pPr>
        <w:snapToGrid w:val="0"/>
        <w:spacing w:line="360" w:lineRule="auto"/>
        <w:ind w:firstLine="420" w:firstLineChars="200"/>
        <w:rPr>
          <w:rFonts w:ascii="Times New Roman" w:hAnsi="Times New Roman" w:cs="Times New Roman"/>
          <w:kern w:val="0"/>
          <w:szCs w:val="21"/>
          <w:highlight w:val="none"/>
        </w:rPr>
      </w:pPr>
      <w:r>
        <w:rPr>
          <w:rFonts w:hint="eastAsia" w:ascii="Times New Roman" w:hAnsi="Times New Roman" w:eastAsia="黑体" w:cs="Times New Roman"/>
          <w:szCs w:val="21"/>
          <w:highlight w:val="none"/>
        </w:rPr>
        <w:t>供试品溶液的制备</w:t>
      </w:r>
      <w:r>
        <w:rPr>
          <w:rFonts w:ascii="Times New Roman" w:hAnsi="Times New Roman" w:eastAsia="黑体" w:cs="Times New Roman"/>
          <w:szCs w:val="21"/>
          <w:highlight w:val="none"/>
        </w:rPr>
        <w:t xml:space="preserve">  </w:t>
      </w:r>
      <w:r>
        <w:rPr>
          <w:rFonts w:ascii="Times New Roman" w:hAnsi="Times New Roman" w:cs="Times New Roman"/>
          <w:szCs w:val="21"/>
          <w:highlight w:val="none"/>
        </w:rPr>
        <w:t>取本品适量，研细，取0.5g，加20%甲醇溶液10ml，超声处理（功率600W，频率40kHz）30分钟，放冷，摇匀，滤过，取续滤液，即得。</w:t>
      </w:r>
    </w:p>
    <w:p>
      <w:pPr>
        <w:snapToGrid w:val="0"/>
        <w:spacing w:line="360" w:lineRule="auto"/>
        <w:ind w:firstLine="420" w:firstLineChars="200"/>
        <w:rPr>
          <w:rFonts w:ascii="Times New Roman" w:hAnsi="Times New Roman" w:cs="Times New Roman"/>
          <w:szCs w:val="21"/>
          <w:highlight w:val="none"/>
        </w:rPr>
      </w:pPr>
      <w:r>
        <w:rPr>
          <w:rFonts w:hint="eastAsia" w:ascii="Times New Roman" w:hAnsi="Times New Roman" w:eastAsia="黑体" w:cs="Times New Roman"/>
          <w:szCs w:val="21"/>
          <w:highlight w:val="none"/>
        </w:rPr>
        <w:t>测定法</w:t>
      </w:r>
      <w:r>
        <w:rPr>
          <w:rFonts w:hint="eastAsia" w:ascii="Times New Roman" w:hAnsi="Times New Roman" w:eastAsia="黑体" w:cs="Times New Roman"/>
          <w:szCs w:val="21"/>
          <w:highlight w:val="none"/>
          <w:lang w:val="en-US" w:eastAsia="zh-CN"/>
        </w:rPr>
        <w:t xml:space="preserve">  </w:t>
      </w:r>
      <w:r>
        <w:rPr>
          <w:rFonts w:hint="eastAsia" w:ascii="Times New Roman" w:hAnsi="Times New Roman" w:cs="Times New Roman"/>
          <w:szCs w:val="21"/>
          <w:highlight w:val="none"/>
        </w:rPr>
        <w:t>分别精密吸取参照物溶液与供试品溶液各</w:t>
      </w:r>
      <w:r>
        <w:rPr>
          <w:rFonts w:ascii="Times New Roman" w:hAnsi="Times New Roman" w:cs="Times New Roman"/>
          <w:szCs w:val="21"/>
          <w:highlight w:val="none"/>
        </w:rPr>
        <w:t>10μl</w:t>
      </w:r>
      <w:r>
        <w:rPr>
          <w:rFonts w:hint="eastAsia" w:ascii="Times New Roman" w:hAnsi="Times New Roman" w:cs="Times New Roman"/>
          <w:szCs w:val="21"/>
          <w:highlight w:val="none"/>
        </w:rPr>
        <w:t>，注入液相色谱仪，测定，即得。</w:t>
      </w:r>
    </w:p>
    <w:p>
      <w:pPr>
        <w:snapToGrid w:val="0"/>
        <w:spacing w:line="360" w:lineRule="auto"/>
        <w:ind w:firstLine="420" w:firstLineChars="200"/>
        <w:rPr>
          <w:rFonts w:ascii="Times New Roman" w:hAnsi="Times New Roman" w:cs="Times New Roman"/>
          <w:szCs w:val="21"/>
          <w:highlight w:val="none"/>
        </w:rPr>
      </w:pPr>
      <w:r>
        <w:rPr>
          <w:rFonts w:hint="eastAsia" w:ascii="Times New Roman" w:hAnsi="Times New Roman" w:cs="Times New Roman"/>
          <w:szCs w:val="21"/>
          <w:highlight w:val="none"/>
        </w:rPr>
        <w:t>供试品色谱中应呈现</w:t>
      </w:r>
      <w:r>
        <w:rPr>
          <w:rFonts w:ascii="Times New Roman" w:hAnsi="Times New Roman" w:cs="Times New Roman"/>
          <w:szCs w:val="21"/>
          <w:highlight w:val="none"/>
        </w:rPr>
        <w:t>6</w:t>
      </w:r>
      <w:r>
        <w:rPr>
          <w:rFonts w:hint="eastAsia" w:ascii="Times New Roman" w:hAnsi="Times New Roman" w:cs="Times New Roman"/>
          <w:szCs w:val="21"/>
          <w:highlight w:val="none"/>
        </w:rPr>
        <w:t>个特征峰，并应与对照药材参照物色谱中的</w:t>
      </w:r>
      <w:r>
        <w:rPr>
          <w:rFonts w:ascii="Times New Roman" w:hAnsi="Times New Roman" w:cs="Times New Roman"/>
          <w:szCs w:val="21"/>
          <w:highlight w:val="none"/>
        </w:rPr>
        <w:t>6</w:t>
      </w:r>
      <w:r>
        <w:rPr>
          <w:rFonts w:hint="eastAsia" w:ascii="Times New Roman" w:hAnsi="Times New Roman" w:cs="Times New Roman"/>
          <w:szCs w:val="21"/>
          <w:highlight w:val="none"/>
        </w:rPr>
        <w:t>个特征峰保留时间相对应，其中峰6应与对照品参照物峰保留时间相对应。与腺苷对照品参照物峰相对应的峰为S峰，计算其余各特征峰与S峰的相对保留时间，其相对保留时间应在规定值的±10</w:t>
      </w:r>
      <w:r>
        <w:rPr>
          <w:rFonts w:ascii="Times New Roman" w:hAnsi="Times New Roman" w:cs="Times New Roman"/>
          <w:szCs w:val="21"/>
          <w:highlight w:val="none"/>
        </w:rPr>
        <w:t>%</w:t>
      </w:r>
      <w:r>
        <w:rPr>
          <w:rFonts w:hint="eastAsia" w:ascii="Times New Roman" w:hAnsi="Times New Roman" w:cs="Times New Roman"/>
          <w:szCs w:val="21"/>
          <w:highlight w:val="none"/>
        </w:rPr>
        <w:t>范围之内，规定值为0.21（峰1）、0.</w:t>
      </w:r>
      <w:r>
        <w:rPr>
          <w:rFonts w:ascii="Times New Roman" w:hAnsi="Times New Roman" w:cs="Times New Roman"/>
          <w:szCs w:val="21"/>
          <w:highlight w:val="none"/>
        </w:rPr>
        <w:t>37</w:t>
      </w:r>
      <w:r>
        <w:rPr>
          <w:rFonts w:hint="eastAsia" w:ascii="Times New Roman" w:hAnsi="Times New Roman" w:cs="Times New Roman"/>
          <w:szCs w:val="21"/>
          <w:highlight w:val="none"/>
        </w:rPr>
        <w:t>（峰2）、0.</w:t>
      </w:r>
      <w:r>
        <w:rPr>
          <w:rFonts w:ascii="Times New Roman" w:hAnsi="Times New Roman" w:cs="Times New Roman"/>
          <w:szCs w:val="21"/>
          <w:highlight w:val="none"/>
        </w:rPr>
        <w:t>62</w:t>
      </w:r>
      <w:r>
        <w:rPr>
          <w:rFonts w:hint="eastAsia" w:ascii="Times New Roman" w:hAnsi="Times New Roman" w:cs="Times New Roman"/>
          <w:szCs w:val="21"/>
          <w:highlight w:val="none"/>
        </w:rPr>
        <w:t>（峰3）、0.</w:t>
      </w:r>
      <w:r>
        <w:rPr>
          <w:rFonts w:ascii="Times New Roman" w:hAnsi="Times New Roman" w:cs="Times New Roman"/>
          <w:szCs w:val="21"/>
          <w:highlight w:val="none"/>
        </w:rPr>
        <w:t>70</w:t>
      </w:r>
      <w:r>
        <w:rPr>
          <w:rFonts w:hint="eastAsia" w:ascii="Times New Roman" w:hAnsi="Times New Roman" w:cs="Times New Roman"/>
          <w:szCs w:val="21"/>
          <w:highlight w:val="none"/>
        </w:rPr>
        <w:t>（峰4）、0.</w:t>
      </w:r>
      <w:r>
        <w:rPr>
          <w:rFonts w:ascii="Times New Roman" w:hAnsi="Times New Roman" w:cs="Times New Roman"/>
          <w:szCs w:val="21"/>
          <w:highlight w:val="none"/>
        </w:rPr>
        <w:t>86</w:t>
      </w:r>
      <w:r>
        <w:rPr>
          <w:rFonts w:hint="eastAsia" w:ascii="Times New Roman" w:hAnsi="Times New Roman" w:cs="Times New Roman"/>
          <w:szCs w:val="21"/>
          <w:highlight w:val="none"/>
        </w:rPr>
        <w:t>（峰5）。</w:t>
      </w:r>
    </w:p>
    <w:p>
      <w:pPr>
        <w:snapToGrid w:val="0"/>
        <w:spacing w:line="360" w:lineRule="auto"/>
        <w:jc w:val="left"/>
        <w:rPr>
          <w:rFonts w:ascii="Times New Roman" w:hAnsi="Times New Roman" w:cs="Times New Roman"/>
          <w:szCs w:val="21"/>
          <w:highlight w:val="none"/>
        </w:rPr>
      </w:pPr>
      <w:r>
        <w:rPr>
          <w:rFonts w:ascii="Times New Roman" w:hAnsi="Times New Roman" w:cs="Times New Roman"/>
          <w:szCs w:val="21"/>
          <w:highlight w:val="none"/>
        </w:rPr>
        <w:drawing>
          <wp:inline distT="0" distB="0" distL="0" distR="0">
            <wp:extent cx="5219700" cy="2120265"/>
            <wp:effectExtent l="0" t="0" r="0" b="13335"/>
            <wp:docPr id="2" name="图片 2" descr="C:\Users\luojun\Desktop\醋甘遂对照特征图谱.bmp"/>
            <wp:cNvGraphicFramePr/>
            <a:graphic xmlns:a="http://schemas.openxmlformats.org/drawingml/2006/main">
              <a:graphicData uri="http://schemas.openxmlformats.org/drawingml/2006/picture">
                <pic:pic xmlns:pic="http://schemas.openxmlformats.org/drawingml/2006/picture">
                  <pic:nvPicPr>
                    <pic:cNvPr id="2" name="图片 2" descr="C:\Users\luojun\Desktop\醋甘遂对照特征图谱.bmp"/>
                    <pic:cNvPicPr>
                      <a:picLocks noChangeArrowheads="1"/>
                    </pic:cNvPicPr>
                  </pic:nvPicPr>
                  <pic:blipFill>
                    <a:blip r:embed="rId7" cstate="print"/>
                    <a:srcRect r="3190"/>
                    <a:stretch>
                      <a:fillRect/>
                    </a:stretch>
                  </pic:blipFill>
                  <pic:spPr>
                    <a:xfrm>
                      <a:off x="0" y="0"/>
                      <a:ext cx="5219700" cy="2120265"/>
                    </a:xfrm>
                    <a:prstGeom prst="rect">
                      <a:avLst/>
                    </a:prstGeom>
                    <a:noFill/>
                    <a:ln w="9525">
                      <a:noFill/>
                      <a:miter lim="800000"/>
                      <a:headEnd/>
                      <a:tailEnd/>
                    </a:ln>
                  </pic:spPr>
                </pic:pic>
              </a:graphicData>
            </a:graphic>
          </wp:inline>
        </w:drawing>
      </w:r>
    </w:p>
    <w:p>
      <w:pPr>
        <w:widowControl/>
        <w:snapToGrid w:val="0"/>
        <w:spacing w:afterLines="50" w:line="276" w:lineRule="auto"/>
        <w:jc w:val="center"/>
        <w:rPr>
          <w:rFonts w:ascii="Times New Roman" w:hAnsi="Times New Roman" w:cs="Times New Roman"/>
          <w:b/>
          <w:kern w:val="0"/>
          <w:szCs w:val="21"/>
          <w:highlight w:val="none"/>
        </w:rPr>
      </w:pPr>
      <w:r>
        <w:rPr>
          <w:rFonts w:hint="eastAsia" w:ascii="Times New Roman" w:hAnsi="Times New Roman" w:cs="Times New Roman"/>
          <w:b/>
          <w:kern w:val="0"/>
          <w:szCs w:val="21"/>
          <w:highlight w:val="none"/>
        </w:rPr>
        <w:t>对照特征图谱</w:t>
      </w:r>
    </w:p>
    <w:p>
      <w:pPr>
        <w:widowControl/>
        <w:snapToGrid w:val="0"/>
        <w:spacing w:line="276" w:lineRule="auto"/>
        <w:jc w:val="center"/>
        <w:rPr>
          <w:rFonts w:ascii="Times New Roman" w:hAnsi="Times New Roman" w:cs="Times New Roman"/>
          <w:kern w:val="0"/>
          <w:sz w:val="18"/>
          <w:szCs w:val="18"/>
          <w:highlight w:val="none"/>
          <w:lang w:bidi="en-US"/>
        </w:rPr>
      </w:pPr>
      <w:r>
        <w:rPr>
          <w:rFonts w:hint="eastAsia" w:ascii="Times New Roman" w:hAnsi="Times New Roman" w:cs="Times New Roman"/>
          <w:kern w:val="0"/>
          <w:sz w:val="18"/>
          <w:szCs w:val="18"/>
          <w:highlight w:val="none"/>
          <w:lang w:bidi="en-US"/>
        </w:rPr>
        <w:t>峰2：</w:t>
      </w:r>
      <w:r>
        <w:rPr>
          <w:rFonts w:hint="eastAsia" w:ascii="Times New Roman" w:hAnsi="Times New Roman" w:cs="Times New Roman"/>
          <w:color w:val="000000"/>
          <w:kern w:val="0"/>
          <w:sz w:val="18"/>
          <w:szCs w:val="18"/>
          <w:highlight w:val="none"/>
        </w:rPr>
        <w:t>尿苷；峰</w:t>
      </w:r>
      <w:r>
        <w:rPr>
          <w:rFonts w:ascii="Times New Roman" w:hAnsi="Times New Roman" w:cs="Times New Roman"/>
          <w:color w:val="000000"/>
          <w:kern w:val="0"/>
          <w:sz w:val="18"/>
          <w:szCs w:val="18"/>
          <w:highlight w:val="none"/>
        </w:rPr>
        <w:t>4</w:t>
      </w:r>
      <w:r>
        <w:rPr>
          <w:rFonts w:hint="eastAsia" w:ascii="Times New Roman" w:hAnsi="Times New Roman" w:cs="Times New Roman"/>
          <w:color w:val="000000"/>
          <w:kern w:val="0"/>
          <w:sz w:val="18"/>
          <w:szCs w:val="18"/>
          <w:highlight w:val="none"/>
        </w:rPr>
        <w:t>：鸟苷；峰</w:t>
      </w:r>
      <w:r>
        <w:rPr>
          <w:rFonts w:ascii="Times New Roman" w:hAnsi="Times New Roman" w:cs="Times New Roman"/>
          <w:color w:val="000000"/>
          <w:kern w:val="0"/>
          <w:sz w:val="18"/>
          <w:szCs w:val="18"/>
          <w:highlight w:val="none"/>
        </w:rPr>
        <w:t>5</w:t>
      </w:r>
      <w:r>
        <w:rPr>
          <w:rFonts w:hint="eastAsia" w:ascii="Times New Roman" w:hAnsi="Times New Roman" w:cs="Times New Roman"/>
          <w:color w:val="000000"/>
          <w:kern w:val="0"/>
          <w:sz w:val="18"/>
          <w:szCs w:val="18"/>
          <w:highlight w:val="none"/>
        </w:rPr>
        <w:t>：色氨酸；</w:t>
      </w:r>
      <w:r>
        <w:rPr>
          <w:rFonts w:hint="eastAsia" w:ascii="Times New Roman" w:hAnsi="Times New Roman" w:cs="Times New Roman"/>
          <w:kern w:val="0"/>
          <w:sz w:val="18"/>
          <w:szCs w:val="18"/>
          <w:highlight w:val="none"/>
          <w:lang w:bidi="en-US"/>
        </w:rPr>
        <w:t>峰</w:t>
      </w:r>
      <w:r>
        <w:rPr>
          <w:rFonts w:ascii="Times New Roman" w:hAnsi="Times New Roman" w:cs="Times New Roman"/>
          <w:kern w:val="0"/>
          <w:sz w:val="18"/>
          <w:szCs w:val="18"/>
          <w:highlight w:val="none"/>
          <w:lang w:bidi="en-US"/>
        </w:rPr>
        <w:t>6</w:t>
      </w:r>
      <w:r>
        <w:rPr>
          <w:rFonts w:hint="eastAsia" w:ascii="Times New Roman" w:hAnsi="Times New Roman" w:cs="Times New Roman"/>
          <w:kern w:val="0"/>
          <w:sz w:val="18"/>
          <w:szCs w:val="18"/>
          <w:highlight w:val="none"/>
          <w:lang w:bidi="en-US"/>
        </w:rPr>
        <w:t>（S）：腺苷</w:t>
      </w:r>
    </w:p>
    <w:p>
      <w:pPr>
        <w:widowControl/>
        <w:snapToGrid w:val="0"/>
        <w:spacing w:afterLines="50" w:line="276" w:lineRule="auto"/>
        <w:jc w:val="center"/>
        <w:rPr>
          <w:rFonts w:ascii="Times New Roman" w:hAnsi="Times New Roman" w:cs="Times New Roman"/>
          <w:kern w:val="0"/>
          <w:sz w:val="18"/>
          <w:szCs w:val="18"/>
          <w:highlight w:val="none"/>
        </w:rPr>
      </w:pPr>
      <w:r>
        <w:rPr>
          <w:rFonts w:hint="eastAsia" w:ascii="Times New Roman" w:hAnsi="Times New Roman" w:cs="Times New Roman"/>
          <w:kern w:val="0"/>
          <w:sz w:val="18"/>
          <w:szCs w:val="18"/>
          <w:highlight w:val="none"/>
          <w:lang w:bidi="en-US"/>
        </w:rPr>
        <w:t>参考色谱柱：Agilent</w:t>
      </w:r>
      <w:r>
        <w:rPr>
          <w:rFonts w:ascii="Times New Roman" w:hAnsi="Times New Roman" w:cs="Times New Roman"/>
          <w:kern w:val="0"/>
          <w:sz w:val="18"/>
          <w:szCs w:val="18"/>
          <w:highlight w:val="none"/>
          <w:lang w:bidi="en-US"/>
        </w:rPr>
        <w:t xml:space="preserve"> 5 TC-C18</w:t>
      </w:r>
      <w:r>
        <w:rPr>
          <w:rFonts w:hint="eastAsia" w:ascii="Times New Roman" w:hAnsi="Times New Roman" w:cs="Times New Roman"/>
          <w:kern w:val="0"/>
          <w:sz w:val="18"/>
          <w:szCs w:val="18"/>
          <w:highlight w:val="none"/>
          <w:lang w:bidi="en-US"/>
        </w:rPr>
        <w:t>，</w:t>
      </w:r>
      <w:r>
        <w:rPr>
          <w:rFonts w:ascii="Times New Roman" w:hAnsi="Times New Roman"/>
          <w:bCs/>
          <w:sz w:val="18"/>
          <w:szCs w:val="18"/>
          <w:highlight w:val="none"/>
        </w:rPr>
        <w:t>4.6mm</w:t>
      </w:r>
      <w:r>
        <w:rPr>
          <w:rFonts w:ascii="Times New Roman" w:hAnsi="Times New Roman"/>
          <w:color w:val="000000"/>
          <w:sz w:val="18"/>
          <w:szCs w:val="18"/>
          <w:highlight w:val="none"/>
        </w:rPr>
        <w:t>×</w:t>
      </w:r>
      <w:r>
        <w:rPr>
          <w:rFonts w:ascii="Times New Roman" w:hAnsi="Times New Roman"/>
          <w:bCs/>
          <w:sz w:val="18"/>
          <w:szCs w:val="18"/>
          <w:highlight w:val="none"/>
        </w:rPr>
        <w:t>250mm，5µm</w:t>
      </w:r>
    </w:p>
    <w:p>
      <w:pPr>
        <w:widowControl/>
        <w:snapToGrid w:val="0"/>
        <w:spacing w:line="360" w:lineRule="auto"/>
        <w:ind w:firstLine="420" w:firstLineChars="200"/>
        <w:jc w:val="left"/>
        <w:rPr>
          <w:rFonts w:ascii="Times New Roman" w:hAnsi="Times New Roman" w:cs="Times New Roman"/>
          <w:color w:val="000000"/>
          <w:szCs w:val="21"/>
          <w:highlight w:val="none"/>
        </w:rPr>
      </w:pPr>
      <w:r>
        <w:rPr>
          <w:rFonts w:hint="eastAsia" w:ascii="Times New Roman" w:hAnsi="Times New Roman" w:eastAsia="黑体" w:cs="Times New Roman"/>
          <w:color w:val="000000"/>
          <w:szCs w:val="21"/>
          <w:highlight w:val="none"/>
        </w:rPr>
        <w:t>【检查】</w:t>
      </w:r>
      <w:r>
        <w:rPr>
          <w:rFonts w:hint="eastAsia" w:ascii="Times New Roman" w:hAnsi="Times New Roman" w:eastAsia="黑体" w:cs="Times New Roman"/>
          <w:color w:val="000000"/>
          <w:szCs w:val="21"/>
          <w:highlight w:val="none"/>
          <w:lang w:val="en-US" w:eastAsia="zh-CN"/>
        </w:rPr>
        <w:t xml:space="preserve">  </w:t>
      </w:r>
      <w:r>
        <w:rPr>
          <w:rFonts w:hint="eastAsia" w:ascii="Times New Roman" w:hAnsi="Times New Roman" w:cs="Times New Roman"/>
          <w:color w:val="000000"/>
          <w:szCs w:val="21"/>
          <w:highlight w:val="none"/>
        </w:rPr>
        <w:t>应符合颗粒剂项下有关的各项规定（中国药典</w:t>
      </w:r>
      <w:r>
        <w:rPr>
          <w:rFonts w:ascii="Times New Roman" w:hAnsi="Times New Roman" w:cs="Times New Roman"/>
          <w:color w:val="000000"/>
          <w:szCs w:val="21"/>
          <w:highlight w:val="none"/>
        </w:rPr>
        <w:t>2020</w:t>
      </w:r>
      <w:r>
        <w:rPr>
          <w:rFonts w:hint="eastAsia" w:ascii="Times New Roman" w:hAnsi="Times New Roman" w:cs="Times New Roman"/>
          <w:color w:val="000000"/>
          <w:szCs w:val="21"/>
          <w:highlight w:val="none"/>
        </w:rPr>
        <w:t>年版通则</w:t>
      </w:r>
      <w:r>
        <w:rPr>
          <w:rFonts w:ascii="Times New Roman" w:hAnsi="Times New Roman" w:cs="Times New Roman"/>
          <w:color w:val="000000"/>
          <w:szCs w:val="21"/>
          <w:highlight w:val="none"/>
        </w:rPr>
        <w:t>0104</w:t>
      </w:r>
      <w:r>
        <w:rPr>
          <w:rFonts w:ascii="Times New Roman" w:hAnsi="Times New Roman" w:cs="Times New Roman"/>
          <w:szCs w:val="21"/>
          <w:highlight w:val="none"/>
        </w:rPr>
        <w:t>）</w:t>
      </w:r>
      <w:r>
        <w:rPr>
          <w:rFonts w:hint="eastAsia" w:ascii="Times New Roman" w:hAnsi="Times New Roman" w:cs="Times New Roman"/>
          <w:color w:val="000000"/>
          <w:szCs w:val="21"/>
          <w:highlight w:val="none"/>
        </w:rPr>
        <w:t>。</w:t>
      </w:r>
    </w:p>
    <w:p>
      <w:pPr>
        <w:widowControl/>
        <w:snapToGrid w:val="0"/>
        <w:spacing w:line="360" w:lineRule="auto"/>
        <w:ind w:firstLine="420" w:firstLineChars="200"/>
        <w:rPr>
          <w:rFonts w:ascii="Times New Roman" w:hAnsi="Times New Roman" w:cs="Times New Roman"/>
          <w:szCs w:val="21"/>
          <w:highlight w:val="none"/>
        </w:rPr>
      </w:pPr>
      <w:r>
        <w:rPr>
          <w:rFonts w:hint="eastAsia" w:ascii="Times New Roman" w:hAnsi="Times New Roman" w:eastAsia="黑体" w:cs="Times New Roman"/>
          <w:szCs w:val="21"/>
          <w:highlight w:val="none"/>
        </w:rPr>
        <w:t>【浸出物】</w:t>
      </w:r>
      <w:r>
        <w:rPr>
          <w:rFonts w:hint="eastAsia" w:ascii="Times New Roman" w:hAnsi="Times New Roman" w:eastAsia="黑体" w:cs="Times New Roman"/>
          <w:szCs w:val="21"/>
          <w:highlight w:val="none"/>
          <w:lang w:val="en-US" w:eastAsia="zh-CN"/>
        </w:rPr>
        <w:t xml:space="preserve">  </w:t>
      </w:r>
      <w:r>
        <w:rPr>
          <w:rFonts w:hint="eastAsia" w:ascii="Times New Roman" w:hAnsi="Times New Roman" w:eastAsia="宋体" w:cs="Times New Roman"/>
          <w:bCs/>
          <w:szCs w:val="21"/>
          <w:highlight w:val="none"/>
          <w:lang w:val="zh-CN"/>
        </w:rPr>
        <w:t>取</w:t>
      </w:r>
      <w:r>
        <w:rPr>
          <w:rFonts w:hint="eastAsia" w:ascii="Times New Roman" w:hAnsi="Times New Roman"/>
          <w:bCs/>
          <w:szCs w:val="21"/>
          <w:highlight w:val="none"/>
          <w:lang w:val="zh-CN"/>
        </w:rPr>
        <w:t>本品适量，</w:t>
      </w:r>
      <w:r>
        <w:rPr>
          <w:rFonts w:hint="eastAsia" w:ascii="Times New Roman" w:hAnsi="Times New Roman"/>
          <w:bCs/>
          <w:szCs w:val="21"/>
          <w:highlight w:val="none"/>
        </w:rPr>
        <w:t>研细，</w:t>
      </w:r>
      <w:r>
        <w:rPr>
          <w:rFonts w:hint="eastAsia" w:ascii="Times New Roman" w:hAnsi="Times New Roman"/>
          <w:bCs/>
          <w:szCs w:val="21"/>
          <w:highlight w:val="none"/>
          <w:lang w:val="zh-CN"/>
        </w:rPr>
        <w:t>取约</w:t>
      </w:r>
      <w:r>
        <w:rPr>
          <w:rFonts w:hint="eastAsia" w:ascii="Times New Roman" w:hAnsi="Times New Roman"/>
          <w:bCs/>
          <w:szCs w:val="21"/>
          <w:highlight w:val="none"/>
          <w:lang w:val="zh-CN"/>
        </w:rPr>
        <w:t>2</w:t>
      </w:r>
      <w:r>
        <w:rPr>
          <w:rFonts w:hint="eastAsia" w:ascii="Times New Roman" w:hAnsi="Times New Roman"/>
          <w:bCs/>
          <w:szCs w:val="21"/>
          <w:highlight w:val="none"/>
          <w:lang w:val="zh-CN"/>
        </w:rPr>
        <w:t>g，精密称定，精密加入乙醇</w:t>
      </w:r>
      <w:r>
        <w:rPr>
          <w:rFonts w:hint="eastAsia" w:ascii="Times New Roman" w:hAnsi="Times New Roman"/>
          <w:bCs/>
          <w:szCs w:val="21"/>
          <w:highlight w:val="none"/>
          <w:lang w:val="zh-CN"/>
        </w:rPr>
        <w:t>100</w:t>
      </w:r>
      <w:r>
        <w:rPr>
          <w:rFonts w:hint="eastAsia" w:ascii="Times New Roman" w:hAnsi="Times New Roman"/>
          <w:bCs/>
          <w:szCs w:val="21"/>
          <w:highlight w:val="none"/>
          <w:lang w:val="zh-CN"/>
        </w:rPr>
        <w:t>ml，</w:t>
      </w:r>
      <w:r>
        <w:rPr>
          <w:rFonts w:hint="eastAsia" w:ascii="Times New Roman" w:hAnsi="Times New Roman" w:cs="Times New Roman"/>
          <w:szCs w:val="21"/>
          <w:highlight w:val="none"/>
        </w:rPr>
        <w:t>照醇溶性浸出物测定法（中国药典2020年版通则2201）项下的热浸法测定，不得少于</w:t>
      </w:r>
      <w:r>
        <w:rPr>
          <w:rFonts w:ascii="Times New Roman" w:hAnsi="Times New Roman" w:cs="Times New Roman"/>
          <w:szCs w:val="21"/>
          <w:highlight w:val="none"/>
        </w:rPr>
        <w:t>6.0%</w:t>
      </w:r>
      <w:r>
        <w:rPr>
          <w:rFonts w:hint="eastAsia" w:ascii="Times New Roman" w:hAnsi="Times New Roman" w:cs="Times New Roman"/>
          <w:szCs w:val="21"/>
          <w:highlight w:val="none"/>
        </w:rPr>
        <w:t>。</w:t>
      </w:r>
    </w:p>
    <w:p>
      <w:pPr>
        <w:widowControl/>
        <w:snapToGrid w:val="0"/>
        <w:spacing w:line="360" w:lineRule="auto"/>
        <w:ind w:firstLine="420" w:firstLineChars="200"/>
        <w:rPr>
          <w:rFonts w:ascii="Times New Roman" w:hAnsi="Times New Roman" w:cs="Times New Roman"/>
          <w:kern w:val="0"/>
          <w:szCs w:val="21"/>
          <w:highlight w:val="none"/>
        </w:rPr>
      </w:pPr>
      <w:r>
        <w:rPr>
          <w:rFonts w:hint="eastAsia" w:ascii="Times New Roman" w:hAnsi="Times New Roman" w:eastAsia="黑体" w:cs="Times New Roman"/>
          <w:kern w:val="0"/>
          <w:szCs w:val="21"/>
          <w:highlight w:val="none"/>
        </w:rPr>
        <w:t>【含量测定】</w:t>
      </w:r>
      <w:r>
        <w:rPr>
          <w:rFonts w:ascii="Times New Roman" w:hAnsi="Times New Roman" w:cs="Times New Roman"/>
          <w:kern w:val="0"/>
          <w:szCs w:val="21"/>
          <w:highlight w:val="none"/>
        </w:rPr>
        <w:t xml:space="preserve">  照高效液相色谱法</w:t>
      </w:r>
      <w:r>
        <w:rPr>
          <w:rFonts w:hint="eastAsia" w:ascii="Times New Roman" w:hAnsi="Times New Roman" w:cs="Times New Roman"/>
          <w:kern w:val="0"/>
          <w:szCs w:val="21"/>
          <w:highlight w:val="none"/>
        </w:rPr>
        <w:t>（中国药典</w:t>
      </w:r>
      <w:r>
        <w:rPr>
          <w:rFonts w:ascii="Times New Roman" w:hAnsi="Times New Roman" w:cs="Times New Roman"/>
          <w:kern w:val="0"/>
          <w:szCs w:val="21"/>
          <w:highlight w:val="none"/>
        </w:rPr>
        <w:t>2020</w:t>
      </w:r>
      <w:r>
        <w:rPr>
          <w:rFonts w:hint="eastAsia" w:ascii="Times New Roman" w:hAnsi="Times New Roman" w:cs="Times New Roman"/>
          <w:kern w:val="0"/>
          <w:szCs w:val="21"/>
          <w:highlight w:val="none"/>
        </w:rPr>
        <w:t>年版通则</w:t>
      </w:r>
      <w:r>
        <w:rPr>
          <w:rFonts w:ascii="Times New Roman" w:hAnsi="Times New Roman" w:cs="Times New Roman"/>
          <w:kern w:val="0"/>
          <w:szCs w:val="21"/>
          <w:highlight w:val="none"/>
        </w:rPr>
        <w:t>0512</w:t>
      </w:r>
      <w:r>
        <w:rPr>
          <w:rFonts w:hint="eastAsia" w:ascii="Times New Roman" w:hAnsi="Times New Roman" w:cs="Times New Roman"/>
          <w:kern w:val="0"/>
          <w:szCs w:val="21"/>
          <w:highlight w:val="none"/>
        </w:rPr>
        <w:t>）测定。</w:t>
      </w:r>
    </w:p>
    <w:p>
      <w:pPr>
        <w:snapToGrid w:val="0"/>
        <w:spacing w:line="360" w:lineRule="auto"/>
        <w:ind w:firstLine="420" w:firstLineChars="200"/>
        <w:rPr>
          <w:rFonts w:ascii="Times New Roman" w:hAnsi="Times New Roman" w:cs="Times New Roman"/>
          <w:szCs w:val="21"/>
          <w:highlight w:val="none"/>
        </w:rPr>
      </w:pPr>
      <w:r>
        <w:rPr>
          <w:rFonts w:hint="eastAsia" w:ascii="Times New Roman" w:hAnsi="Times New Roman" w:eastAsia="黑体" w:cs="Times New Roman"/>
          <w:szCs w:val="21"/>
          <w:highlight w:val="none"/>
        </w:rPr>
        <w:t>色谱条件与系统适用性试验</w:t>
      </w:r>
      <w:r>
        <w:rPr>
          <w:rFonts w:hint="eastAsia" w:ascii="Times New Roman" w:hAnsi="Times New Roman" w:eastAsia="黑体" w:cs="Times New Roman"/>
          <w:szCs w:val="21"/>
          <w:highlight w:val="none"/>
          <w:lang w:val="en-US" w:eastAsia="zh-CN"/>
        </w:rPr>
        <w:t xml:space="preserve">  </w:t>
      </w:r>
      <w:r>
        <w:rPr>
          <w:rFonts w:hint="eastAsia" w:ascii="Times New Roman" w:hAnsi="Times New Roman" w:cs="Times New Roman"/>
          <w:szCs w:val="21"/>
          <w:highlight w:val="none"/>
        </w:rPr>
        <w:t>以十八烷基硅烷键合硅胶为填充剂；以甲醇-水（10∶90）为流动相；柱温为20℃，检测波长为260nm，理论板数按腺苷峰计算应不低于3000。</w:t>
      </w:r>
    </w:p>
    <w:p>
      <w:pPr>
        <w:snapToGrid w:val="0"/>
        <w:spacing w:line="360" w:lineRule="auto"/>
        <w:ind w:firstLine="420" w:firstLineChars="200"/>
        <w:rPr>
          <w:rFonts w:ascii="Times New Roman" w:hAnsi="Times New Roman" w:cs="Times New Roman"/>
          <w:szCs w:val="21"/>
          <w:highlight w:val="none"/>
        </w:rPr>
      </w:pPr>
      <w:r>
        <w:rPr>
          <w:rFonts w:hint="eastAsia" w:ascii="Times New Roman" w:hAnsi="Times New Roman" w:eastAsia="黑体" w:cs="Times New Roman"/>
          <w:szCs w:val="21"/>
          <w:highlight w:val="none"/>
        </w:rPr>
        <w:t>对照品溶液的制备</w:t>
      </w:r>
      <w:r>
        <w:rPr>
          <w:rFonts w:hint="eastAsia" w:ascii="Times New Roman" w:hAnsi="Times New Roman" w:eastAsia="黑体" w:cs="Times New Roman"/>
          <w:szCs w:val="21"/>
          <w:highlight w:val="none"/>
          <w:lang w:val="en-US" w:eastAsia="zh-CN"/>
        </w:rPr>
        <w:t xml:space="preserve">  </w:t>
      </w:r>
      <w:r>
        <w:rPr>
          <w:rFonts w:hint="eastAsia" w:ascii="Times New Roman" w:hAnsi="Times New Roman" w:cs="Times New Roman"/>
          <w:szCs w:val="21"/>
          <w:highlight w:val="none"/>
        </w:rPr>
        <w:t>取腺苷对照品适量，精密称定，</w:t>
      </w:r>
      <w:r>
        <w:rPr>
          <w:rFonts w:hint="eastAsia" w:ascii="Times New Roman" w:hAnsi="Times New Roman" w:cs="Times New Roman"/>
          <w:color w:val="000000"/>
          <w:szCs w:val="21"/>
          <w:highlight w:val="none"/>
        </w:rPr>
        <w:t>加20%甲醇制成每1ml含10μg的溶液，</w:t>
      </w:r>
      <w:r>
        <w:rPr>
          <w:rFonts w:hint="eastAsia" w:ascii="Times New Roman" w:hAnsi="Times New Roman" w:cs="Times New Roman"/>
          <w:szCs w:val="21"/>
          <w:highlight w:val="none"/>
        </w:rPr>
        <w:t>即得。</w:t>
      </w:r>
    </w:p>
    <w:p>
      <w:pPr>
        <w:snapToGrid w:val="0"/>
        <w:spacing w:line="360" w:lineRule="auto"/>
        <w:ind w:firstLine="420" w:firstLineChars="200"/>
        <w:rPr>
          <w:rFonts w:ascii="Times New Roman" w:hAnsi="Times New Roman" w:cs="Times New Roman"/>
          <w:szCs w:val="21"/>
          <w:highlight w:val="none"/>
        </w:rPr>
      </w:pPr>
      <w:r>
        <w:rPr>
          <w:rFonts w:hint="eastAsia" w:ascii="Times New Roman" w:hAnsi="Times New Roman" w:eastAsia="黑体" w:cs="Times New Roman"/>
          <w:szCs w:val="21"/>
          <w:highlight w:val="none"/>
        </w:rPr>
        <w:t>供试品溶液的制备</w:t>
      </w:r>
      <w:r>
        <w:rPr>
          <w:rFonts w:hint="eastAsia" w:ascii="Times New Roman" w:hAnsi="Times New Roman" w:eastAsia="黑体" w:cs="Times New Roman"/>
          <w:szCs w:val="21"/>
          <w:highlight w:val="none"/>
          <w:lang w:val="en-US" w:eastAsia="zh-CN"/>
        </w:rPr>
        <w:t xml:space="preserve">  </w:t>
      </w:r>
      <w:r>
        <w:rPr>
          <w:rFonts w:hint="eastAsia" w:ascii="Times New Roman" w:hAnsi="Times New Roman" w:cs="Times New Roman"/>
          <w:szCs w:val="21"/>
          <w:highlight w:val="none"/>
        </w:rPr>
        <w:t>取本品适量，研细，取约0.5g，精密称定，置具塞锥形瓶中，精密</w:t>
      </w:r>
      <w:r>
        <w:rPr>
          <w:rFonts w:hint="eastAsia" w:ascii="Times New Roman" w:hAnsi="Times New Roman" w:cs="Times New Roman"/>
          <w:color w:val="000000"/>
          <w:szCs w:val="21"/>
          <w:highlight w:val="none"/>
        </w:rPr>
        <w:t>加入20%甲醇10ml</w:t>
      </w:r>
      <w:r>
        <w:rPr>
          <w:rFonts w:hint="eastAsia" w:ascii="Times New Roman" w:hAnsi="Times New Roman" w:cs="Times New Roman"/>
          <w:szCs w:val="21"/>
          <w:highlight w:val="none"/>
        </w:rPr>
        <w:t>，称定重量，超声处理（功率600W，频率40kHz）30分钟，放冷，再称定重量，</w:t>
      </w:r>
      <w:r>
        <w:rPr>
          <w:rFonts w:hint="eastAsia" w:ascii="Times New Roman" w:hAnsi="Times New Roman" w:cs="Times New Roman"/>
          <w:color w:val="000000"/>
          <w:szCs w:val="21"/>
          <w:highlight w:val="none"/>
        </w:rPr>
        <w:t>用20%甲醇补足减失的重量</w:t>
      </w:r>
      <w:r>
        <w:rPr>
          <w:rFonts w:hint="eastAsia" w:ascii="Times New Roman" w:hAnsi="Times New Roman" w:cs="Times New Roman"/>
          <w:color w:val="000000"/>
          <w:kern w:val="0"/>
          <w:szCs w:val="21"/>
          <w:highlight w:val="none"/>
        </w:rPr>
        <w:t>，</w:t>
      </w:r>
      <w:r>
        <w:rPr>
          <w:rFonts w:hint="eastAsia" w:ascii="Times New Roman" w:hAnsi="Times New Roman" w:cs="Times New Roman"/>
          <w:color w:val="000000"/>
          <w:szCs w:val="21"/>
          <w:highlight w:val="none"/>
        </w:rPr>
        <w:t>摇匀，滤过，取续滤液，即得。</w:t>
      </w:r>
    </w:p>
    <w:p>
      <w:pPr>
        <w:snapToGrid w:val="0"/>
        <w:spacing w:line="360" w:lineRule="auto"/>
        <w:ind w:firstLine="420" w:firstLineChars="200"/>
        <w:rPr>
          <w:rFonts w:ascii="Times New Roman" w:hAnsi="Times New Roman" w:cs="Times New Roman"/>
          <w:szCs w:val="21"/>
          <w:highlight w:val="none"/>
        </w:rPr>
      </w:pPr>
      <w:r>
        <w:rPr>
          <w:rFonts w:hint="eastAsia" w:ascii="Times New Roman" w:hAnsi="Times New Roman" w:eastAsia="黑体" w:cs="Times New Roman"/>
          <w:szCs w:val="21"/>
          <w:highlight w:val="none"/>
        </w:rPr>
        <w:t>测定法</w:t>
      </w:r>
      <w:r>
        <w:rPr>
          <w:rFonts w:hint="eastAsia" w:ascii="Times New Roman" w:hAnsi="Times New Roman" w:eastAsia="黑体" w:cs="Times New Roman"/>
          <w:szCs w:val="21"/>
          <w:highlight w:val="none"/>
          <w:lang w:val="en-US" w:eastAsia="zh-CN"/>
        </w:rPr>
        <w:t xml:space="preserve">  </w:t>
      </w:r>
      <w:r>
        <w:rPr>
          <w:rFonts w:hint="eastAsia" w:ascii="Times New Roman" w:hAnsi="Times New Roman" w:cs="Times New Roman"/>
          <w:szCs w:val="21"/>
          <w:highlight w:val="none"/>
        </w:rPr>
        <w:t>分别精密吸取对照品溶液与供试品溶液各</w:t>
      </w:r>
      <w:r>
        <w:rPr>
          <w:rFonts w:ascii="Times New Roman" w:hAnsi="Times New Roman" w:cs="Times New Roman"/>
          <w:szCs w:val="21"/>
          <w:highlight w:val="none"/>
        </w:rPr>
        <w:t>10μl</w:t>
      </w:r>
      <w:r>
        <w:rPr>
          <w:rFonts w:hint="eastAsia" w:ascii="Times New Roman" w:hAnsi="Times New Roman" w:cs="Times New Roman"/>
          <w:szCs w:val="21"/>
          <w:highlight w:val="none"/>
        </w:rPr>
        <w:t>，注入液相色谱仪，测定，即得。</w:t>
      </w:r>
    </w:p>
    <w:p>
      <w:pPr>
        <w:widowControl/>
        <w:snapToGrid w:val="0"/>
        <w:spacing w:line="360" w:lineRule="auto"/>
        <w:ind w:firstLine="420" w:firstLineChars="200"/>
        <w:rPr>
          <w:rFonts w:ascii="Times New Roman" w:hAnsi="Times New Roman" w:cs="Times New Roman"/>
          <w:szCs w:val="21"/>
          <w:highlight w:val="none"/>
        </w:rPr>
      </w:pPr>
      <w:r>
        <w:rPr>
          <w:rFonts w:hint="eastAsia" w:ascii="Times New Roman" w:hAnsi="Times New Roman" w:cs="Times New Roman"/>
          <w:szCs w:val="21"/>
          <w:highlight w:val="none"/>
        </w:rPr>
        <w:t>本品每1g含腺苷（C</w:t>
      </w:r>
      <w:r>
        <w:rPr>
          <w:rFonts w:ascii="Times New Roman" w:hAnsi="Times New Roman" w:cs="Times New Roman"/>
          <w:szCs w:val="21"/>
          <w:highlight w:val="none"/>
          <w:vertAlign w:val="subscript"/>
        </w:rPr>
        <w:t>10</w:t>
      </w:r>
      <w:r>
        <w:rPr>
          <w:rFonts w:ascii="Times New Roman" w:hAnsi="Times New Roman" w:cs="Times New Roman"/>
          <w:szCs w:val="21"/>
          <w:highlight w:val="none"/>
        </w:rPr>
        <w:t>H</w:t>
      </w:r>
      <w:r>
        <w:rPr>
          <w:rFonts w:ascii="Times New Roman" w:hAnsi="Times New Roman" w:cs="Times New Roman"/>
          <w:szCs w:val="21"/>
          <w:highlight w:val="none"/>
          <w:vertAlign w:val="subscript"/>
        </w:rPr>
        <w:t>13</w:t>
      </w:r>
      <w:r>
        <w:rPr>
          <w:rFonts w:ascii="Times New Roman" w:hAnsi="Times New Roman" w:cs="Times New Roman"/>
          <w:szCs w:val="21"/>
          <w:highlight w:val="none"/>
        </w:rPr>
        <w:t>N</w:t>
      </w:r>
      <w:r>
        <w:rPr>
          <w:rFonts w:ascii="Times New Roman" w:hAnsi="Times New Roman" w:cs="Times New Roman"/>
          <w:szCs w:val="21"/>
          <w:highlight w:val="none"/>
          <w:vertAlign w:val="subscript"/>
        </w:rPr>
        <w:t>5</w:t>
      </w:r>
      <w:r>
        <w:rPr>
          <w:rFonts w:ascii="Times New Roman" w:hAnsi="Times New Roman" w:cs="Times New Roman"/>
          <w:szCs w:val="21"/>
          <w:highlight w:val="none"/>
        </w:rPr>
        <w:t>O</w:t>
      </w:r>
      <w:r>
        <w:rPr>
          <w:rFonts w:ascii="Times New Roman" w:hAnsi="Times New Roman" w:cs="Times New Roman"/>
          <w:szCs w:val="21"/>
          <w:highlight w:val="none"/>
          <w:vertAlign w:val="subscript"/>
        </w:rPr>
        <w:t>4</w:t>
      </w:r>
      <w:r>
        <w:rPr>
          <w:rFonts w:hint="eastAsia" w:ascii="Times New Roman" w:hAnsi="Times New Roman" w:cs="Times New Roman"/>
          <w:szCs w:val="21"/>
          <w:highlight w:val="none"/>
        </w:rPr>
        <w:t>）应为0.06mg</w:t>
      </w:r>
      <w:r>
        <w:rPr>
          <w:rFonts w:ascii="Times New Roman" w:hAnsi="Times New Roman" w:cs="Times New Roman"/>
          <w:szCs w:val="21"/>
          <w:highlight w:val="none"/>
        </w:rPr>
        <w:t xml:space="preserve"> -0.16mg</w:t>
      </w:r>
      <w:r>
        <w:rPr>
          <w:rFonts w:hint="eastAsia" w:ascii="Times New Roman" w:hAnsi="Times New Roman" w:cs="Times New Roman"/>
          <w:szCs w:val="21"/>
          <w:highlight w:val="none"/>
        </w:rPr>
        <w:t>。</w:t>
      </w:r>
    </w:p>
    <w:p>
      <w:pPr>
        <w:snapToGrid w:val="0"/>
        <w:spacing w:line="360" w:lineRule="auto"/>
        <w:ind w:firstLine="420" w:firstLineChars="200"/>
        <w:rPr>
          <w:rFonts w:ascii="Times New Roman" w:hAnsi="Times New Roman" w:cs="Times New Roman"/>
          <w:szCs w:val="21"/>
          <w:highlight w:val="none"/>
        </w:rPr>
      </w:pPr>
      <w:r>
        <w:rPr>
          <w:rFonts w:ascii="Times New Roman" w:hAnsi="Times New Roman" w:eastAsia="黑体" w:cs="Times New Roman"/>
          <w:szCs w:val="21"/>
          <w:highlight w:val="none"/>
        </w:rPr>
        <w:t>【规格】</w:t>
      </w:r>
      <w:r>
        <w:rPr>
          <w:rFonts w:hint="eastAsia" w:ascii="Times New Roman" w:hAnsi="Times New Roman" w:eastAsia="黑体" w:cs="Times New Roman"/>
          <w:szCs w:val="21"/>
          <w:highlight w:val="none"/>
          <w:lang w:val="en-US" w:eastAsia="zh-CN"/>
        </w:rPr>
        <w:t xml:space="preserve">  </w:t>
      </w:r>
      <w:r>
        <w:rPr>
          <w:rFonts w:hint="eastAsia" w:ascii="Times New Roman" w:hAnsi="Times New Roman" w:cs="Times New Roman"/>
          <w:szCs w:val="21"/>
          <w:highlight w:val="none"/>
        </w:rPr>
        <w:t>每</w:t>
      </w:r>
      <w:r>
        <w:rPr>
          <w:rFonts w:ascii="Times New Roman" w:hAnsi="Times New Roman" w:cs="Times New Roman"/>
          <w:szCs w:val="21"/>
          <w:highlight w:val="none"/>
        </w:rPr>
        <w:t>1g</w:t>
      </w:r>
      <w:r>
        <w:rPr>
          <w:rFonts w:hint="eastAsia" w:ascii="Times New Roman" w:hAnsi="Times New Roman" w:cs="Times New Roman"/>
          <w:szCs w:val="21"/>
          <w:highlight w:val="none"/>
        </w:rPr>
        <w:t>配方颗粒相当于饮片</w:t>
      </w:r>
      <w:r>
        <w:rPr>
          <w:rFonts w:ascii="Times New Roman" w:hAnsi="Times New Roman" w:cs="Times New Roman"/>
          <w:szCs w:val="21"/>
          <w:highlight w:val="none"/>
        </w:rPr>
        <w:t>1g</w:t>
      </w:r>
    </w:p>
    <w:p>
      <w:pPr>
        <w:snapToGrid w:val="0"/>
        <w:spacing w:line="360" w:lineRule="auto"/>
        <w:ind w:firstLine="420" w:firstLineChars="200"/>
        <w:rPr>
          <w:rFonts w:ascii="Times New Roman" w:hAnsi="Times New Roman" w:cs="Times New Roman"/>
          <w:szCs w:val="21"/>
          <w:highlight w:val="none"/>
        </w:rPr>
      </w:pPr>
      <w:r>
        <w:rPr>
          <w:rFonts w:ascii="Times New Roman" w:hAnsi="Times New Roman" w:eastAsia="黑体" w:cs="Times New Roman"/>
          <w:szCs w:val="21"/>
          <w:highlight w:val="none"/>
        </w:rPr>
        <w:t>【贮藏】</w:t>
      </w:r>
      <w:r>
        <w:rPr>
          <w:rFonts w:hint="eastAsia" w:ascii="Times New Roman" w:hAnsi="Times New Roman" w:eastAsia="黑体" w:cs="Times New Roman"/>
          <w:szCs w:val="21"/>
          <w:highlight w:val="none"/>
          <w:lang w:val="en-US" w:eastAsia="zh-CN"/>
        </w:rPr>
        <w:t xml:space="preserve">  </w:t>
      </w:r>
      <w:r>
        <w:rPr>
          <w:rFonts w:hint="eastAsia" w:ascii="Times New Roman" w:hAnsi="Times New Roman" w:cs="Times New Roman"/>
          <w:szCs w:val="21"/>
          <w:highlight w:val="none"/>
        </w:rPr>
        <w:t>密封。</w:t>
      </w:r>
    </w:p>
    <w:sectPr>
      <w:headerReference r:id="rId5" w:type="first"/>
      <w:headerReference r:id="rId3" w:type="default"/>
      <w:head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微软雅黑">
    <w:panose1 w:val="020B0503020204020204"/>
    <w:charset w:val="86"/>
    <w:family w:val="auto"/>
    <w:pitch w:val="default"/>
    <w:sig w:usb0="80000287" w:usb1="2A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28"/>
      </w:rPr>
      <w:pict>
        <v:shape id="PowerPlusWaterMarkObject40963" o:spid="_x0000_s1029" o:spt="136" type="#_x0000_t136" style="position:absolute;left:0pt;height:40.25pt;width:487.95pt;mso-position-horizontal:center;mso-position-horizontal-relative:margin;mso-position-vertical:center;mso-position-vertical-relative:margin;rotation:-2949120f;z-index:-251653120;mso-width-relative:page;mso-height-relative:page;" fillcolor="#C0C0C0" filled="t" stroked="f" coordsize="21600,21600" adj="10800">
          <v:path/>
          <v:fill on="t" opacity="32768f" focussize="0,0"/>
          <v:stroke on="f"/>
          <v:imagedata o:title=""/>
          <o:lock v:ext="edit" aspectratio="t"/>
          <v:textpath on="t" fitpath="t" trim="t" xscale="f" string="广东省中药配方颗粒质量标准公示稿" style="font-family:微软雅黑;font-size:40pt;v-same-letter-heights:f;v-text-align:center;"/>
        </v:shape>
      </w:pict>
    </w:r>
    <w:r>
      <w:rPr>
        <w:rFonts w:hint="eastAsia" w:ascii="黑体" w:hAnsi="黑体" w:eastAsia="黑体" w:cs="黑体"/>
        <w:sz w:val="28"/>
        <w:szCs w:val="28"/>
      </w:rPr>
      <w:t>广东省中药配方颗粒质量标准公示稿</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pict>
        <v:shape id="PowerPlusWaterMarkObject279525719" o:spid="_x0000_s1026" o:spt="136" type="#_x0000_t136" style="position:absolute;left:0pt;height:39.75pt;width:636pt;mso-position-horizontal:center;mso-position-horizontal-relative:margin;mso-position-vertical:center;mso-position-vertical-relative:margin;rotation:20643840f;z-index:-251656192;mso-width-relative:page;mso-height-relative:page;" fillcolor="#000000" filled="t" stroked="f" coordsize="21600,21600" o:allowincell="f">
          <v:path/>
          <v:fill on="t" opacity="32768f" focussize="0,0"/>
          <v:stroke on="f"/>
          <v:imagedata o:title=""/>
          <o:lock v:ext="edit"/>
          <v:textpath on="t" fitshape="t" fitpath="t" trim="t" xscale="f" string="广东省中药配方颗粒质量标准公示稿" style="font-family:宋体;font-size:4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pict>
        <v:shape id="PowerPlusWaterMarkObject279525718" o:spid="_x0000_s1025" o:spt="136" type="#_x0000_t136" style="position:absolute;left:0pt;height:39.75pt;width:636pt;mso-position-horizontal:center;mso-position-horizontal-relative:margin;mso-position-vertical:center;mso-position-vertical-relative:margin;rotation:20643840f;z-index:-251657216;mso-width-relative:page;mso-height-relative:page;" fillcolor="#000000" filled="t" stroked="f" coordsize="21600,21600" o:allowincell="f">
          <v:path/>
          <v:fill on="t" opacity="32768f" focussize="0,0"/>
          <v:stroke on="f"/>
          <v:imagedata o:title=""/>
          <o:lock v:ext="edit"/>
          <v:textpath on="t" fitshape="t" fitpath="t" trim="t" xscale="f" string="广东省中药配方颗粒质量标准公示稿" style="font-family:宋体;font-size:40pt;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ThiNjZlYjk3ZmQ4YjkxMjIwM2U2ZjI0NTBmNTYxYmYifQ=="/>
  </w:docVars>
  <w:rsids>
    <w:rsidRoot w:val="004557B2"/>
    <w:rsid w:val="00016765"/>
    <w:rsid w:val="00032B59"/>
    <w:rsid w:val="001D31DB"/>
    <w:rsid w:val="001D7F57"/>
    <w:rsid w:val="001E380D"/>
    <w:rsid w:val="002214FF"/>
    <w:rsid w:val="0024311A"/>
    <w:rsid w:val="00274B3E"/>
    <w:rsid w:val="00336A1E"/>
    <w:rsid w:val="003523CB"/>
    <w:rsid w:val="00363660"/>
    <w:rsid w:val="00406C3B"/>
    <w:rsid w:val="00437B0F"/>
    <w:rsid w:val="004557B2"/>
    <w:rsid w:val="004F4C2D"/>
    <w:rsid w:val="00525386"/>
    <w:rsid w:val="005E6943"/>
    <w:rsid w:val="00676EAF"/>
    <w:rsid w:val="006D48B8"/>
    <w:rsid w:val="007053EA"/>
    <w:rsid w:val="0073042D"/>
    <w:rsid w:val="007C00EB"/>
    <w:rsid w:val="007D3119"/>
    <w:rsid w:val="00803083"/>
    <w:rsid w:val="008D4885"/>
    <w:rsid w:val="0099763F"/>
    <w:rsid w:val="00AB3CEE"/>
    <w:rsid w:val="00B64C4C"/>
    <w:rsid w:val="00B95745"/>
    <w:rsid w:val="00C847BC"/>
    <w:rsid w:val="00CD33DB"/>
    <w:rsid w:val="00D4169C"/>
    <w:rsid w:val="00D9616C"/>
    <w:rsid w:val="00DC2B3A"/>
    <w:rsid w:val="00FC2F8B"/>
    <w:rsid w:val="01690C99"/>
    <w:rsid w:val="1B604798"/>
    <w:rsid w:val="37236CCF"/>
    <w:rsid w:val="3A9D4F68"/>
    <w:rsid w:val="4DBB50C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uiPriority w:val="1"/>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link w:val="16"/>
    <w:semiHidden/>
    <w:unhideWhenUsed/>
    <w:qFormat/>
    <w:uiPriority w:val="99"/>
    <w:rPr>
      <w:b/>
      <w:bCs/>
    </w:rPr>
  </w:style>
  <w:style w:type="paragraph" w:styleId="3">
    <w:name w:val="annotation text"/>
    <w:basedOn w:val="1"/>
    <w:link w:val="15"/>
    <w:semiHidden/>
    <w:unhideWhenUsed/>
    <w:qFormat/>
    <w:uiPriority w:val="99"/>
    <w:pPr>
      <w:jc w:val="left"/>
    </w:pPr>
  </w:style>
  <w:style w:type="paragraph" w:styleId="4">
    <w:name w:val="Document Map"/>
    <w:basedOn w:val="1"/>
    <w:link w:val="14"/>
    <w:semiHidden/>
    <w:unhideWhenUsed/>
    <w:qFormat/>
    <w:uiPriority w:val="99"/>
    <w:rPr>
      <w:rFonts w:ascii="宋体" w:eastAsia="宋体"/>
      <w:sz w:val="18"/>
      <w:szCs w:val="18"/>
    </w:rPr>
  </w:style>
  <w:style w:type="paragraph" w:styleId="5">
    <w:name w:val="Balloon Text"/>
    <w:basedOn w:val="1"/>
    <w:link w:val="13"/>
    <w:semiHidden/>
    <w:unhideWhenUsed/>
    <w:qFormat/>
    <w:uiPriority w:val="99"/>
    <w:rPr>
      <w:sz w:val="18"/>
      <w:szCs w:val="18"/>
    </w:rPr>
  </w:style>
  <w:style w:type="paragraph" w:styleId="6">
    <w:name w:val="footer"/>
    <w:basedOn w:val="1"/>
    <w:link w:val="12"/>
    <w:semiHidden/>
    <w:unhideWhenUsed/>
    <w:qFormat/>
    <w:uiPriority w:val="99"/>
    <w:pPr>
      <w:tabs>
        <w:tab w:val="center" w:pos="4153"/>
        <w:tab w:val="right" w:pos="8306"/>
      </w:tabs>
      <w:snapToGrid w:val="0"/>
      <w:jc w:val="left"/>
    </w:pPr>
    <w:rPr>
      <w:sz w:val="18"/>
      <w:szCs w:val="18"/>
    </w:rPr>
  </w:style>
  <w:style w:type="paragraph" w:styleId="7">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styleId="9">
    <w:name w:val="annotation reference"/>
    <w:basedOn w:val="8"/>
    <w:semiHidden/>
    <w:unhideWhenUsed/>
    <w:qFormat/>
    <w:uiPriority w:val="99"/>
    <w:rPr>
      <w:sz w:val="21"/>
      <w:szCs w:val="21"/>
    </w:rPr>
  </w:style>
  <w:style w:type="character" w:customStyle="1" w:styleId="11">
    <w:name w:val="页眉 Char"/>
    <w:basedOn w:val="8"/>
    <w:link w:val="7"/>
    <w:semiHidden/>
    <w:qFormat/>
    <w:uiPriority w:val="99"/>
    <w:rPr>
      <w:sz w:val="18"/>
      <w:szCs w:val="18"/>
    </w:rPr>
  </w:style>
  <w:style w:type="character" w:customStyle="1" w:styleId="12">
    <w:name w:val="页脚 Char"/>
    <w:basedOn w:val="8"/>
    <w:link w:val="6"/>
    <w:semiHidden/>
    <w:qFormat/>
    <w:uiPriority w:val="99"/>
    <w:rPr>
      <w:sz w:val="18"/>
      <w:szCs w:val="18"/>
    </w:rPr>
  </w:style>
  <w:style w:type="character" w:customStyle="1" w:styleId="13">
    <w:name w:val="批注框文本 Char"/>
    <w:basedOn w:val="8"/>
    <w:link w:val="5"/>
    <w:semiHidden/>
    <w:qFormat/>
    <w:uiPriority w:val="99"/>
    <w:rPr>
      <w:sz w:val="18"/>
      <w:szCs w:val="18"/>
    </w:rPr>
  </w:style>
  <w:style w:type="character" w:customStyle="1" w:styleId="14">
    <w:name w:val="文档结构图 Char"/>
    <w:basedOn w:val="8"/>
    <w:link w:val="4"/>
    <w:semiHidden/>
    <w:qFormat/>
    <w:uiPriority w:val="99"/>
    <w:rPr>
      <w:rFonts w:ascii="宋体" w:eastAsia="宋体"/>
      <w:kern w:val="2"/>
      <w:sz w:val="18"/>
      <w:szCs w:val="18"/>
    </w:rPr>
  </w:style>
  <w:style w:type="character" w:customStyle="1" w:styleId="15">
    <w:name w:val="批注文字 Char"/>
    <w:basedOn w:val="8"/>
    <w:link w:val="3"/>
    <w:semiHidden/>
    <w:qFormat/>
    <w:uiPriority w:val="99"/>
    <w:rPr>
      <w:kern w:val="2"/>
      <w:sz w:val="21"/>
      <w:szCs w:val="22"/>
    </w:rPr>
  </w:style>
  <w:style w:type="character" w:customStyle="1" w:styleId="16">
    <w:name w:val="批注主题 Char"/>
    <w:basedOn w:val="15"/>
    <w:link w:val="2"/>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9"/>
    <customShpInfo spid="_x0000_s1026"/>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admin</Company>
  <Pages>2</Pages>
  <Words>1430</Words>
  <Characters>1770</Characters>
  <Lines>13</Lines>
  <Paragraphs>3</Paragraphs>
  <TotalTime>13</TotalTime>
  <ScaleCrop>false</ScaleCrop>
  <LinksUpToDate>false</LinksUpToDate>
  <CharactersWithSpaces>1783</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2021-07-26T05:10:00Z</dcterms:created>
  <dc:creator>陈玉梅</dc:creator>
  <cp:lastModifiedBy>黄俊忠</cp:lastModifiedBy>
  <dcterms:modified xsi:type="dcterms:W3CDTF">2022-06-28T04:44:04Z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D5CDD505-2E9C-101B-9397-08002B2CF9AE}" pid="3" name="ICV">
    <vt:lpwstr>B05C623E6CE6413BA65BD683148CF694</vt:lpwstr>
  </property>
</Properties>
</file>