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right"/>
        <w:rPr>
          <w:rFonts w:ascii="黑体" w:hAnsi="黑体" w:eastAsia="黑体"/>
          <w:sz w:val="28"/>
          <w:szCs w:val="28"/>
        </w:rPr>
      </w:pPr>
      <w:bookmarkStart w:id="0" w:name="_GoBack"/>
      <w:bookmarkEnd w:id="0"/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两面针配方颗粒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Liangmianzhen Peifangkeli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宋体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bCs/>
          <w:szCs w:val="21"/>
        </w:rPr>
        <w:t>【来源】</w:t>
      </w:r>
      <w:r>
        <w:rPr>
          <w:rFonts w:hint="eastAsia" w:ascii="黑体" w:hAnsi="黑体" w:eastAsia="黑体"/>
          <w:bCs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本品为芸香科植物两面针</w:t>
      </w:r>
      <w:r>
        <w:rPr>
          <w:rFonts w:ascii="Times New Roman" w:hAnsi="Times New Roman" w:eastAsia="宋体"/>
          <w:i/>
          <w:szCs w:val="21"/>
        </w:rPr>
        <w:t>Zanthoxylum nitidum</w:t>
      </w:r>
      <w:r>
        <w:rPr>
          <w:rFonts w:hint="eastAsia" w:ascii="Times New Roman" w:hAnsi="Times New Roman" w:eastAsia="宋体"/>
          <w:szCs w:val="21"/>
        </w:rPr>
        <w:t>(</w:t>
      </w:r>
      <w:r>
        <w:rPr>
          <w:rFonts w:ascii="Times New Roman" w:hAnsi="Times New Roman" w:eastAsia="宋体"/>
          <w:szCs w:val="21"/>
        </w:rPr>
        <w:t>Roxb.</w:t>
      </w:r>
      <w:r>
        <w:rPr>
          <w:rFonts w:hint="eastAsia" w:ascii="Times New Roman" w:hAnsi="Times New Roman" w:eastAsia="宋体"/>
          <w:szCs w:val="21"/>
        </w:rPr>
        <w:t xml:space="preserve"> ) </w:t>
      </w:r>
      <w:r>
        <w:rPr>
          <w:rFonts w:ascii="Times New Roman" w:hAnsi="Times New Roman" w:eastAsia="宋体"/>
          <w:szCs w:val="21"/>
        </w:rPr>
        <w:t>DC.的干燥根，经炮制加工并按标准汤剂的主要质量指标加工制成的配方颗粒。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bCs/>
          <w:szCs w:val="21"/>
        </w:rPr>
        <w:t>【制法】</w:t>
      </w:r>
      <w:r>
        <w:rPr>
          <w:rFonts w:hint="eastAsia" w:ascii="黑体" w:hAnsi="黑体" w:eastAsia="黑体"/>
          <w:bCs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取两面针饮片12000g，加水煎煮，滤过，滤液浓缩成清膏（干浸膏出膏率为5.0%~8.3%），干燥（或干燥，粉碎），加</w:t>
      </w:r>
      <w:r>
        <w:rPr>
          <w:rFonts w:hint="eastAsia" w:ascii="Times New Roman" w:hAnsi="Times New Roman" w:eastAsia="宋体"/>
          <w:szCs w:val="21"/>
        </w:rPr>
        <w:t>入</w:t>
      </w:r>
      <w:r>
        <w:rPr>
          <w:rFonts w:ascii="Times New Roman" w:hAnsi="Times New Roman" w:eastAsia="宋体"/>
          <w:szCs w:val="21"/>
        </w:rPr>
        <w:t>辅料适量，混匀，制粒，制成1000g，分装，即得。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b/>
          <w:bCs/>
          <w:szCs w:val="21"/>
        </w:rPr>
      </w:pPr>
      <w:r>
        <w:rPr>
          <w:rFonts w:ascii="黑体" w:hAnsi="黑体" w:eastAsia="黑体"/>
          <w:bCs/>
          <w:szCs w:val="21"/>
        </w:rPr>
        <w:t>【性状】</w:t>
      </w:r>
      <w:r>
        <w:rPr>
          <w:rFonts w:hint="eastAsia" w:ascii="黑体" w:hAnsi="黑体" w:eastAsia="黑体"/>
          <w:bCs/>
          <w:szCs w:val="21"/>
        </w:rPr>
        <w:t xml:space="preserve">  </w:t>
      </w:r>
      <w:r>
        <w:rPr>
          <w:rFonts w:ascii="Times New Roman" w:hAnsi="Times New Roman" w:eastAsia="宋体"/>
          <w:bCs/>
          <w:szCs w:val="21"/>
        </w:rPr>
        <w:t>本品为棕黄色至棕褐色的颗粒；气微香，味苦。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bCs/>
          <w:szCs w:val="21"/>
        </w:rPr>
        <w:t>【鉴别】</w:t>
      </w:r>
      <w:r>
        <w:rPr>
          <w:rFonts w:hint="eastAsia" w:ascii="黑体" w:hAnsi="黑体" w:eastAsia="黑体"/>
          <w:bCs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（1）取本品</w:t>
      </w:r>
      <w:r>
        <w:rPr>
          <w:rFonts w:hint="eastAsia" w:ascii="Times New Roman" w:hAnsi="Times New Roman" w:eastAsia="宋体"/>
          <w:szCs w:val="21"/>
        </w:rPr>
        <w:t>适量</w:t>
      </w:r>
      <w:r>
        <w:rPr>
          <w:rFonts w:ascii="Times New Roman" w:hAnsi="Times New Roman" w:eastAsia="宋体"/>
          <w:szCs w:val="21"/>
        </w:rPr>
        <w:t>，研细，</w:t>
      </w:r>
      <w:r>
        <w:rPr>
          <w:rFonts w:hint="eastAsia" w:ascii="Times New Roman" w:hAnsi="Times New Roman" w:eastAsia="宋体"/>
          <w:szCs w:val="21"/>
        </w:rPr>
        <w:t>取1g，</w:t>
      </w:r>
      <w:r>
        <w:rPr>
          <w:rFonts w:ascii="Times New Roman" w:hAnsi="Times New Roman" w:eastAsia="宋体"/>
          <w:szCs w:val="21"/>
        </w:rPr>
        <w:t>加甲醇25ml，超声处理30分钟，滤过，滤液作为供试品溶液。另取两面针对照药材1g，加水50ml，</w:t>
      </w:r>
      <w:r>
        <w:rPr>
          <w:rFonts w:hint="eastAsia" w:ascii="Times New Roman" w:hAnsi="Times New Roman" w:eastAsia="宋体"/>
          <w:szCs w:val="21"/>
        </w:rPr>
        <w:t>煎</w:t>
      </w:r>
      <w:r>
        <w:rPr>
          <w:rFonts w:ascii="Times New Roman" w:hAnsi="Times New Roman" w:eastAsia="宋体"/>
          <w:szCs w:val="21"/>
        </w:rPr>
        <w:t>煮30分钟，滤过，滤液蒸干，残渣加甲醇25ml，同法制成对照药材溶液。再取氯化两面针碱对照品，加甲醇制成每1ml含0.5mg的溶液，作为对照品溶液。照薄层色谱法（中国药典2020年版通则0502）试验，吸取供试品溶液5μl、对照药材溶液10μl、对照品溶液2μl，分别点于同一硅胶G薄层板上，以甲苯-乙酸乙酯-甲醇-浓氨试液</w:t>
      </w:r>
      <w:r>
        <w:rPr>
          <w:rFonts w:hint="eastAsia" w:ascii="Times New Roman" w:hAnsi="Times New Roman" w:eastAsia="宋体"/>
          <w:szCs w:val="21"/>
        </w:rPr>
        <w:t>（</w:t>
      </w:r>
      <w:r>
        <w:rPr>
          <w:rFonts w:ascii="Times New Roman" w:hAnsi="Times New Roman" w:eastAsia="宋体"/>
          <w:szCs w:val="21"/>
        </w:rPr>
        <w:t>20</w:t>
      </w:r>
      <w:r>
        <w:rPr>
          <w:rFonts w:hint="eastAsia" w:ascii="Times New Roman" w:hAnsi="Times New Roman" w:eastAsia="宋体"/>
          <w:szCs w:val="21"/>
        </w:rPr>
        <w:t>︰</w:t>
      </w:r>
      <w:r>
        <w:rPr>
          <w:rFonts w:ascii="Times New Roman" w:hAnsi="Times New Roman" w:eastAsia="宋体"/>
          <w:szCs w:val="21"/>
        </w:rPr>
        <w:t>5</w:t>
      </w:r>
      <w:r>
        <w:rPr>
          <w:rFonts w:hint="eastAsia" w:ascii="Times New Roman" w:hAnsi="Times New Roman" w:eastAsia="宋体"/>
          <w:szCs w:val="21"/>
        </w:rPr>
        <w:t>︰</w:t>
      </w: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/>
          <w:szCs w:val="21"/>
        </w:rPr>
        <w:t>︰</w:t>
      </w:r>
      <w:r>
        <w:rPr>
          <w:rFonts w:ascii="Times New Roman" w:hAnsi="Times New Roman" w:eastAsia="宋体"/>
          <w:szCs w:val="21"/>
        </w:rPr>
        <w:t>0.1</w:t>
      </w:r>
      <w:r>
        <w:rPr>
          <w:rFonts w:hint="eastAsia" w:ascii="Times New Roman" w:hAnsi="Times New Roman" w:eastAsia="宋体"/>
          <w:szCs w:val="21"/>
        </w:rPr>
        <w:t>）</w:t>
      </w:r>
      <w:r>
        <w:rPr>
          <w:rFonts w:ascii="Times New Roman" w:hAnsi="Times New Roman" w:eastAsia="宋体"/>
          <w:szCs w:val="21"/>
        </w:rPr>
        <w:t>为展开剂，展开，取出，晾干，置紫外光</w:t>
      </w:r>
      <w:r>
        <w:rPr>
          <w:rFonts w:hint="eastAsia" w:ascii="Times New Roman" w:hAnsi="Times New Roman" w:eastAsia="宋体"/>
          <w:szCs w:val="21"/>
        </w:rPr>
        <w:t>灯</w:t>
      </w:r>
      <w:r>
        <w:rPr>
          <w:rFonts w:ascii="Times New Roman" w:hAnsi="Times New Roman" w:eastAsia="宋体"/>
          <w:szCs w:val="21"/>
        </w:rPr>
        <w:t>（365nm）下检视。供试品色谱中，在与对照药材色谱和对照品色谱相应的位置上，显相同颜色的荧光斑点。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（2）取乙氧基白屈菜红碱对照品，加甲醇制成每1ml含0.5mg的溶液，作为对照品溶液。照薄层色谱法（中国药典2020年版通则0502）试验，吸取</w:t>
      </w:r>
      <w:r>
        <w:rPr>
          <w:rFonts w:hint="eastAsia" w:ascii="Times New Roman" w:hAnsi="Times New Roman" w:eastAsia="宋体"/>
          <w:szCs w:val="21"/>
        </w:rPr>
        <w:t>〔</w:t>
      </w:r>
      <w:r>
        <w:rPr>
          <w:rFonts w:ascii="Times New Roman" w:hAnsi="Times New Roman" w:eastAsia="宋体"/>
          <w:szCs w:val="21"/>
        </w:rPr>
        <w:t>鉴别</w:t>
      </w:r>
      <w:r>
        <w:rPr>
          <w:rFonts w:hint="eastAsia" w:ascii="Times New Roman" w:hAnsi="Times New Roman" w:eastAsia="宋体"/>
          <w:szCs w:val="21"/>
        </w:rPr>
        <w:t>〕</w:t>
      </w:r>
      <w:r>
        <w:rPr>
          <w:rFonts w:ascii="Times New Roman" w:hAnsi="Times New Roman" w:eastAsia="宋体"/>
          <w:szCs w:val="21"/>
        </w:rPr>
        <w:t>（1）项下供试品溶液</w:t>
      </w:r>
      <w:r>
        <w:rPr>
          <w:rFonts w:hint="eastAsia" w:ascii="Times New Roman" w:hAnsi="Times New Roman" w:eastAsia="宋体"/>
          <w:szCs w:val="21"/>
        </w:rPr>
        <w:t>与</w:t>
      </w:r>
      <w:r>
        <w:rPr>
          <w:rFonts w:ascii="Times New Roman" w:hAnsi="Times New Roman" w:eastAsia="宋体"/>
          <w:szCs w:val="21"/>
        </w:rPr>
        <w:t>对照药材溶液各10μl、上述对照品溶液2μl，分别点于同一硅胶G薄层板上，以甲苯-乙酸乙酯-甲醇-浓氨试液</w:t>
      </w:r>
      <w:r>
        <w:rPr>
          <w:rFonts w:hint="eastAsia" w:ascii="Times New Roman" w:hAnsi="Times New Roman" w:eastAsia="宋体"/>
          <w:szCs w:val="21"/>
        </w:rPr>
        <w:t>（</w:t>
      </w:r>
      <w:r>
        <w:rPr>
          <w:rFonts w:ascii="Times New Roman" w:hAnsi="Times New Roman" w:eastAsia="宋体"/>
          <w:szCs w:val="21"/>
        </w:rPr>
        <w:t>20</w:t>
      </w:r>
      <w:r>
        <w:rPr>
          <w:rFonts w:hint="eastAsia" w:ascii="Times New Roman" w:hAnsi="Times New Roman" w:eastAsia="宋体"/>
          <w:szCs w:val="21"/>
        </w:rPr>
        <w:t>︰</w:t>
      </w:r>
      <w:r>
        <w:rPr>
          <w:rFonts w:ascii="Times New Roman" w:hAnsi="Times New Roman" w:eastAsia="宋体"/>
          <w:szCs w:val="21"/>
        </w:rPr>
        <w:t>5</w:t>
      </w:r>
      <w:r>
        <w:rPr>
          <w:rFonts w:hint="eastAsia" w:ascii="Times New Roman" w:hAnsi="Times New Roman" w:eastAsia="宋体"/>
          <w:szCs w:val="21"/>
        </w:rPr>
        <w:t>︰</w:t>
      </w:r>
      <w:r>
        <w:rPr>
          <w:rFonts w:ascii="Times New Roman" w:hAnsi="Times New Roman" w:eastAsia="宋体"/>
          <w:szCs w:val="21"/>
        </w:rPr>
        <w:t>1</w:t>
      </w:r>
      <w:r>
        <w:rPr>
          <w:rFonts w:hint="eastAsia" w:ascii="Times New Roman" w:hAnsi="Times New Roman" w:eastAsia="宋体"/>
          <w:szCs w:val="21"/>
        </w:rPr>
        <w:t>︰</w:t>
      </w:r>
      <w:r>
        <w:rPr>
          <w:rFonts w:ascii="Times New Roman" w:hAnsi="Times New Roman" w:eastAsia="宋体"/>
          <w:szCs w:val="21"/>
        </w:rPr>
        <w:t>0.1</w:t>
      </w:r>
      <w:r>
        <w:rPr>
          <w:rFonts w:hint="eastAsia" w:ascii="Times New Roman" w:hAnsi="Times New Roman" w:eastAsia="宋体"/>
          <w:szCs w:val="21"/>
        </w:rPr>
        <w:t>）</w:t>
      </w:r>
      <w:r>
        <w:rPr>
          <w:rFonts w:ascii="Times New Roman" w:hAnsi="Times New Roman" w:eastAsia="宋体"/>
          <w:szCs w:val="21"/>
        </w:rPr>
        <w:t>为展开剂，置</w:t>
      </w:r>
      <w:r>
        <w:rPr>
          <w:rFonts w:hint="eastAsia" w:ascii="Times New Roman" w:hAnsi="Times New Roman" w:eastAsia="宋体"/>
          <w:szCs w:val="21"/>
        </w:rPr>
        <w:t>氨蒸气预饱和</w:t>
      </w:r>
      <w:r>
        <w:rPr>
          <w:rFonts w:ascii="Times New Roman" w:hAnsi="Times New Roman" w:eastAsia="宋体"/>
          <w:szCs w:val="21"/>
        </w:rPr>
        <w:t>的展开缸内</w:t>
      </w:r>
      <w:r>
        <w:rPr>
          <w:rFonts w:hint="eastAsia" w:ascii="Times New Roman" w:hAnsi="Times New Roman" w:eastAsia="宋体"/>
          <w:szCs w:val="21"/>
        </w:rPr>
        <w:t>，</w:t>
      </w:r>
      <w:r>
        <w:rPr>
          <w:rFonts w:ascii="Times New Roman" w:hAnsi="Times New Roman" w:eastAsia="宋体"/>
          <w:szCs w:val="21"/>
        </w:rPr>
        <w:t>展开，取出，晾干，置紫外光灯</w:t>
      </w:r>
      <w:r>
        <w:rPr>
          <w:rFonts w:hint="eastAsia" w:ascii="Times New Roman" w:hAnsi="Times New Roman" w:eastAsia="宋体"/>
          <w:szCs w:val="21"/>
        </w:rPr>
        <w:t>（</w:t>
      </w:r>
      <w:r>
        <w:rPr>
          <w:rFonts w:ascii="Times New Roman" w:hAnsi="Times New Roman" w:eastAsia="宋体"/>
          <w:szCs w:val="21"/>
        </w:rPr>
        <w:t>365nm</w:t>
      </w:r>
      <w:r>
        <w:rPr>
          <w:rFonts w:hint="eastAsia" w:ascii="Times New Roman" w:hAnsi="Times New Roman" w:eastAsia="宋体"/>
          <w:szCs w:val="21"/>
        </w:rPr>
        <w:t>）</w:t>
      </w:r>
      <w:r>
        <w:rPr>
          <w:rFonts w:ascii="Times New Roman" w:hAnsi="Times New Roman" w:eastAsia="宋体"/>
          <w:szCs w:val="21"/>
        </w:rPr>
        <w:t>下检视。供试品色谱中，在与对照药材色谱和对照品色谱相应的位置上，显相同颜色的荧光斑点。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黑体" w:hAnsi="黑体" w:eastAsia="黑体"/>
          <w:bCs/>
          <w:szCs w:val="21"/>
        </w:rPr>
        <w:t>【特征图谱】</w:t>
      </w:r>
      <w:r>
        <w:rPr>
          <w:rFonts w:hint="eastAsia" w:ascii="黑体" w:hAnsi="黑体" w:eastAsia="黑体"/>
          <w:bCs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照高效液相色谱法（中国药典2020年版通则0512）测定。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szCs w:val="21"/>
        </w:rPr>
        <w:t>色谱条件与系统适</w:t>
      </w:r>
      <w:r>
        <w:rPr>
          <w:rFonts w:hint="eastAsia" w:ascii="黑体" w:hAnsi="黑体" w:eastAsia="黑体"/>
          <w:szCs w:val="21"/>
        </w:rPr>
        <w:t>用</w:t>
      </w:r>
      <w:r>
        <w:rPr>
          <w:rFonts w:ascii="黑体" w:hAnsi="黑体" w:eastAsia="黑体"/>
          <w:szCs w:val="21"/>
        </w:rPr>
        <w:t>性</w:t>
      </w:r>
      <w:r>
        <w:rPr>
          <w:rFonts w:hint="eastAsia" w:ascii="黑体" w:hAnsi="黑体" w:eastAsia="黑体"/>
          <w:szCs w:val="21"/>
        </w:rPr>
        <w:t xml:space="preserve">试验  </w:t>
      </w:r>
      <w:r>
        <w:rPr>
          <w:rFonts w:ascii="Times New Roman" w:hAnsi="Times New Roman" w:eastAsia="宋体"/>
          <w:szCs w:val="21"/>
        </w:rPr>
        <w:t>以十八烷基硅烷键合硅胶为填充剂</w:t>
      </w:r>
      <w:r>
        <w:rPr>
          <w:rFonts w:hint="eastAsia" w:ascii="Times New Roman" w:hAnsi="Times New Roman" w:eastAsia="宋体"/>
          <w:szCs w:val="21"/>
        </w:rPr>
        <w:t>；</w:t>
      </w:r>
      <w:r>
        <w:rPr>
          <w:rFonts w:ascii="Times New Roman" w:hAnsi="Times New Roman" w:eastAsia="宋体"/>
          <w:szCs w:val="21"/>
        </w:rPr>
        <w:t>以乙腈为流动相A，以0.1%甲酸溶液（含0.25%三乙胺）为流动相B，按下表中的规定进行梯度洗脱；柱温为25℃</w:t>
      </w:r>
      <w:r>
        <w:rPr>
          <w:rFonts w:hint="eastAsia" w:ascii="Times New Roman" w:hAnsi="Times New Roman" w:eastAsia="宋体"/>
          <w:szCs w:val="21"/>
        </w:rPr>
        <w:t>；</w:t>
      </w:r>
      <w:r>
        <w:rPr>
          <w:rFonts w:ascii="Times New Roman" w:hAnsi="Times New Roman" w:eastAsia="宋体"/>
          <w:szCs w:val="21"/>
        </w:rPr>
        <w:t>检测波长为271nm。理论板数按氯化两面针碱峰计算应不低于2500。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0"/>
        <w:gridCol w:w="284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66" w:type="pct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宋体" w:eastAsia="宋体"/>
                <w:szCs w:val="21"/>
              </w:rPr>
              <w:t>时间（分钟）</w:t>
            </w:r>
          </w:p>
        </w:tc>
        <w:tc>
          <w:tcPr>
            <w:tcW w:w="1666" w:type="pct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宋体" w:eastAsia="宋体"/>
                <w:szCs w:val="21"/>
              </w:rPr>
              <w:t>流动相</w:t>
            </w:r>
            <w:r>
              <w:rPr>
                <w:rFonts w:ascii="Times New Roman" w:hAnsi="Times New Roman" w:eastAsia="宋体"/>
                <w:szCs w:val="21"/>
              </w:rPr>
              <w:t>A</w:t>
            </w:r>
            <w:r>
              <w:rPr>
                <w:rFonts w:ascii="Times New Roman" w:hAnsi="宋体" w:eastAsia="宋体"/>
                <w:szCs w:val="21"/>
              </w:rPr>
              <w:t>（</w:t>
            </w:r>
            <w:r>
              <w:rPr>
                <w:rFonts w:ascii="Times New Roman" w:hAnsi="Times New Roman" w:eastAsia="宋体"/>
                <w:szCs w:val="21"/>
              </w:rPr>
              <w:t>%</w:t>
            </w:r>
            <w:r>
              <w:rPr>
                <w:rFonts w:ascii="Times New Roman" w:hAnsi="宋体" w:eastAsia="宋体"/>
                <w:szCs w:val="21"/>
              </w:rPr>
              <w:t>）</w:t>
            </w:r>
          </w:p>
        </w:tc>
        <w:tc>
          <w:tcPr>
            <w:tcW w:w="1667" w:type="pct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宋体" w:eastAsia="宋体"/>
                <w:szCs w:val="21"/>
              </w:rPr>
              <w:t>流动相</w:t>
            </w:r>
            <w:r>
              <w:rPr>
                <w:rFonts w:ascii="Times New Roman" w:hAnsi="Times New Roman" w:eastAsia="宋体"/>
                <w:szCs w:val="21"/>
              </w:rPr>
              <w:t>B</w:t>
            </w:r>
            <w:r>
              <w:rPr>
                <w:rFonts w:ascii="Times New Roman" w:hAnsi="宋体" w:eastAsia="宋体"/>
                <w:szCs w:val="21"/>
              </w:rPr>
              <w:t>（</w:t>
            </w:r>
            <w:r>
              <w:rPr>
                <w:rFonts w:ascii="Times New Roman" w:hAnsi="Times New Roman" w:eastAsia="宋体"/>
                <w:szCs w:val="21"/>
              </w:rPr>
              <w:t>%</w:t>
            </w:r>
            <w:r>
              <w:rPr>
                <w:rFonts w:ascii="Times New Roman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4" w:hRule="atLeast"/>
          <w:jc w:val="center"/>
        </w:trPr>
        <w:tc>
          <w:tcPr>
            <w:tcW w:w="1666" w:type="pc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0~60</w:t>
            </w:r>
          </w:p>
        </w:tc>
        <w:tc>
          <w:tcPr>
            <w:tcW w:w="1666" w:type="pc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10→16</w:t>
            </w:r>
          </w:p>
        </w:tc>
        <w:tc>
          <w:tcPr>
            <w:tcW w:w="1667" w:type="pc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90→84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66" w:type="pct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60~90</w:t>
            </w:r>
          </w:p>
        </w:tc>
        <w:tc>
          <w:tcPr>
            <w:tcW w:w="1666" w:type="pct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16→21</w:t>
            </w:r>
          </w:p>
        </w:tc>
        <w:tc>
          <w:tcPr>
            <w:tcW w:w="1667" w:type="pct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84→79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66" w:type="pct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90~110</w:t>
            </w:r>
          </w:p>
        </w:tc>
        <w:tc>
          <w:tcPr>
            <w:tcW w:w="1666" w:type="pct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21→32</w:t>
            </w:r>
          </w:p>
        </w:tc>
        <w:tc>
          <w:tcPr>
            <w:tcW w:w="1667" w:type="pct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79→68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66" w:type="pct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110~115</w:t>
            </w:r>
          </w:p>
        </w:tc>
        <w:tc>
          <w:tcPr>
            <w:tcW w:w="1666" w:type="pct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32→100</w:t>
            </w:r>
          </w:p>
        </w:tc>
        <w:tc>
          <w:tcPr>
            <w:tcW w:w="1667" w:type="pct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68→0</w:t>
            </w:r>
          </w:p>
        </w:tc>
      </w:tr>
    </w:tbl>
    <w:p>
      <w:pPr>
        <w:adjustRightInd w:val="0"/>
        <w:snapToGrid w:val="0"/>
        <w:spacing w:beforeLines="50" w:line="360" w:lineRule="auto"/>
        <w:ind w:firstLine="420" w:firstLineChars="200"/>
        <w:rPr>
          <w:rFonts w:ascii="Times New Roman" w:hAnsi="Times New Roman" w:eastAsia="宋体"/>
          <w:b/>
          <w:szCs w:val="21"/>
        </w:rPr>
      </w:pPr>
      <w:r>
        <w:rPr>
          <w:rFonts w:ascii="黑体" w:hAnsi="黑体" w:eastAsia="黑体"/>
          <w:szCs w:val="21"/>
        </w:rPr>
        <w:t>参照物溶液制备</w:t>
      </w:r>
      <w:r>
        <w:rPr>
          <w:rFonts w:hint="eastAsia" w:ascii="黑体" w:hAnsi="黑体" w:eastAsia="黑体"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取两面针对照药材1g，</w:t>
      </w:r>
      <w:r>
        <w:rPr>
          <w:rFonts w:ascii="Times New Roman" w:hAnsi="Times New Roman" w:eastAsia="宋体"/>
          <w:bCs/>
          <w:szCs w:val="21"/>
        </w:rPr>
        <w:t>加水50ml，加热回流</w:t>
      </w:r>
      <w:r>
        <w:rPr>
          <w:rFonts w:ascii="Times New Roman" w:hAnsi="Times New Roman" w:eastAsia="宋体"/>
          <w:szCs w:val="21"/>
        </w:rPr>
        <w:t>30分钟，</w:t>
      </w:r>
      <w:r>
        <w:rPr>
          <w:rFonts w:ascii="Times New Roman" w:hAnsi="Times New Roman" w:eastAsia="宋体"/>
          <w:bCs/>
          <w:szCs w:val="21"/>
        </w:rPr>
        <w:t>滤过，滤液蒸干，</w:t>
      </w:r>
      <w:r>
        <w:rPr>
          <w:rFonts w:ascii="Times New Roman" w:hAnsi="Times New Roman" w:eastAsia="宋体"/>
          <w:szCs w:val="21"/>
        </w:rPr>
        <w:t>残渣加70%甲醇50ml，</w:t>
      </w:r>
      <w:r>
        <w:rPr>
          <w:rFonts w:ascii="Times New Roman" w:hAnsi="Times New Roman" w:eastAsia="宋体"/>
          <w:bCs/>
          <w:szCs w:val="21"/>
        </w:rPr>
        <w:t>超声处理（功率250W，频率40kHz）30分钟，放冷，摇匀</w:t>
      </w:r>
      <w:r>
        <w:rPr>
          <w:rFonts w:ascii="Times New Roman" w:hAnsi="Times New Roman" w:eastAsia="宋体"/>
          <w:szCs w:val="21"/>
        </w:rPr>
        <w:t>，滤过，取续滤液，</w:t>
      </w:r>
      <w:r>
        <w:rPr>
          <w:rFonts w:ascii="Times New Roman" w:hAnsi="Times New Roman" w:eastAsia="宋体"/>
          <w:bCs/>
          <w:szCs w:val="21"/>
        </w:rPr>
        <w:t>作为对照药材参照物溶液。</w:t>
      </w:r>
      <w:r>
        <w:rPr>
          <w:rFonts w:hint="eastAsia" w:ascii="Times New Roman" w:hAnsi="Times New Roman" w:eastAsia="宋体"/>
          <w:bCs/>
          <w:szCs w:val="21"/>
        </w:rPr>
        <w:t>另</w:t>
      </w:r>
      <w:r>
        <w:rPr>
          <w:rFonts w:ascii="Times New Roman" w:hAnsi="Times New Roman" w:eastAsia="宋体"/>
          <w:szCs w:val="21"/>
        </w:rPr>
        <w:t>取氯化两面针碱对照品、乙氧基白屈菜红碱对照品适量，加70%甲醇制成每1ml</w:t>
      </w:r>
      <w:r>
        <w:rPr>
          <w:rFonts w:hint="eastAsia" w:ascii="Times New Roman" w:hAnsi="Times New Roman" w:eastAsia="宋体"/>
          <w:szCs w:val="21"/>
        </w:rPr>
        <w:t>各</w:t>
      </w:r>
      <w:r>
        <w:rPr>
          <w:rFonts w:ascii="Times New Roman" w:hAnsi="Times New Roman" w:eastAsia="宋体"/>
          <w:szCs w:val="21"/>
        </w:rPr>
        <w:t>含50μg的</w:t>
      </w:r>
      <w:r>
        <w:rPr>
          <w:rFonts w:hint="eastAsia" w:ascii="Times New Roman" w:hAnsi="Times New Roman" w:eastAsia="宋体"/>
          <w:szCs w:val="21"/>
        </w:rPr>
        <w:t>混合</w:t>
      </w:r>
      <w:r>
        <w:rPr>
          <w:rFonts w:ascii="Times New Roman" w:hAnsi="Times New Roman" w:eastAsia="宋体"/>
          <w:szCs w:val="21"/>
        </w:rPr>
        <w:t>溶液，作为对照品参照物溶液。</w:t>
      </w:r>
    </w:p>
    <w:p>
      <w:pPr>
        <w:adjustRightInd w:val="0"/>
        <w:snapToGrid w:val="0"/>
        <w:spacing w:line="360" w:lineRule="auto"/>
        <w:ind w:firstLine="411" w:firstLineChars="196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szCs w:val="21"/>
        </w:rPr>
        <w:t>供试品溶液的制备</w:t>
      </w:r>
      <w:r>
        <w:rPr>
          <w:rFonts w:hint="eastAsia" w:ascii="黑体" w:hAnsi="黑体" w:eastAsia="黑体"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取本品</w:t>
      </w:r>
      <w:r>
        <w:rPr>
          <w:rFonts w:hint="eastAsia" w:ascii="Times New Roman" w:hAnsi="Times New Roman" w:eastAsia="宋体"/>
          <w:szCs w:val="21"/>
        </w:rPr>
        <w:t>适量</w:t>
      </w:r>
      <w:r>
        <w:rPr>
          <w:rFonts w:ascii="Times New Roman" w:hAnsi="Times New Roman" w:eastAsia="宋体"/>
          <w:szCs w:val="21"/>
        </w:rPr>
        <w:t>，研细，取0.5g，加70%甲醇50ml，超声处理（功率250W，频率40kHz）30分钟，放冷，滤过，取续滤液，即得。</w:t>
      </w:r>
    </w:p>
    <w:p>
      <w:pPr>
        <w:adjustRightInd w:val="0"/>
        <w:snapToGrid w:val="0"/>
        <w:spacing w:line="360" w:lineRule="auto"/>
        <w:ind w:firstLine="411" w:firstLineChars="196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bCs/>
          <w:szCs w:val="21"/>
        </w:rPr>
        <w:t>测定法</w:t>
      </w:r>
      <w:r>
        <w:rPr>
          <w:rFonts w:ascii="Times New Roman" w:hAnsi="Times New Roman" w:eastAsia="宋体"/>
          <w:szCs w:val="21"/>
        </w:rPr>
        <w:t xml:space="preserve">  分别精密吸取参照物溶液</w:t>
      </w:r>
      <w:r>
        <w:rPr>
          <w:rFonts w:hint="eastAsia" w:ascii="Times New Roman" w:hAnsi="Times New Roman" w:eastAsia="宋体"/>
          <w:szCs w:val="21"/>
        </w:rPr>
        <w:t>与</w:t>
      </w:r>
      <w:r>
        <w:rPr>
          <w:rFonts w:ascii="Times New Roman" w:hAnsi="Times New Roman" w:eastAsia="宋体"/>
          <w:szCs w:val="21"/>
        </w:rPr>
        <w:t>供试品溶液各10µl，注入液相色谱仪，测定，</w:t>
      </w:r>
      <w:r>
        <w:rPr>
          <w:rFonts w:hint="eastAsia" w:ascii="Times New Roman" w:hAnsi="Times New Roman" w:eastAsia="宋体"/>
          <w:szCs w:val="21"/>
        </w:rPr>
        <w:t>即得</w:t>
      </w:r>
      <w:r>
        <w:rPr>
          <w:rFonts w:ascii="Times New Roman" w:hAnsi="Times New Roman" w:eastAsia="宋体"/>
          <w:szCs w:val="21"/>
        </w:rPr>
        <w:t>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供试品色谱中应呈现5个特征峰，并应与对照药材参照物色谱中的5个特征峰保留时间相对应，其中峰4、峰5应分别与</w:t>
      </w:r>
      <w:r>
        <w:rPr>
          <w:rFonts w:hint="eastAsia" w:ascii="Times New Roman" w:hAnsi="Times New Roman" w:eastAsia="宋体"/>
          <w:szCs w:val="21"/>
        </w:rPr>
        <w:t>相应</w:t>
      </w:r>
      <w:r>
        <w:rPr>
          <w:rFonts w:ascii="Times New Roman" w:hAnsi="Times New Roman" w:eastAsia="宋体"/>
          <w:szCs w:val="21"/>
        </w:rPr>
        <w:t>对照品参照物峰保留时间相对应。</w:t>
      </w:r>
    </w:p>
    <w:p>
      <w:pPr>
        <w:snapToGrid w:val="0"/>
        <w:jc w:val="center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drawing>
          <wp:inline distT="0" distB="0" distL="0" distR="0">
            <wp:extent cx="5233670" cy="2120265"/>
            <wp:effectExtent l="0" t="0" r="5080" b="13335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16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2120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="宋体"/>
          <w:b/>
          <w:szCs w:val="21"/>
        </w:rPr>
      </w:pPr>
      <w:r>
        <w:rPr>
          <w:rFonts w:ascii="Times New Roman" w:hAnsi="Times New Roman" w:eastAsia="宋体"/>
          <w:b/>
          <w:szCs w:val="21"/>
        </w:rPr>
        <w:t>对照特征图谱</w:t>
      </w:r>
    </w:p>
    <w:p>
      <w:pPr>
        <w:snapToGrid w:val="0"/>
        <w:spacing w:line="276" w:lineRule="auto"/>
        <w:jc w:val="center"/>
        <w:rPr>
          <w:rFonts w:ascii="Times New Roman" w:hAnsi="Times New Roman" w:eastAsia="宋体"/>
          <w:sz w:val="18"/>
          <w:szCs w:val="18"/>
        </w:rPr>
      </w:pPr>
      <w:r>
        <w:rPr>
          <w:rFonts w:ascii="Times New Roman" w:hAnsi="Times New Roman" w:eastAsia="宋体"/>
          <w:sz w:val="18"/>
          <w:szCs w:val="18"/>
        </w:rPr>
        <w:t>峰4：氯化两面针碱；峰5</w:t>
      </w:r>
      <w:r>
        <w:rPr>
          <w:rFonts w:hint="eastAsia" w:ascii="Times New Roman" w:hAnsi="Times New Roman" w:eastAsia="宋体"/>
          <w:sz w:val="18"/>
          <w:szCs w:val="18"/>
        </w:rPr>
        <w:t>：</w:t>
      </w:r>
      <w:r>
        <w:rPr>
          <w:rFonts w:ascii="Times New Roman" w:hAnsi="Times New Roman" w:eastAsia="宋体"/>
          <w:sz w:val="18"/>
          <w:szCs w:val="18"/>
        </w:rPr>
        <w:t>乙氧基白屈菜红碱</w:t>
      </w:r>
    </w:p>
    <w:p>
      <w:pPr>
        <w:snapToGrid w:val="0"/>
        <w:spacing w:afterLines="50" w:line="276" w:lineRule="auto"/>
        <w:jc w:val="center"/>
        <w:rPr>
          <w:rFonts w:ascii="Times New Roman" w:hAnsi="Times New Roman" w:eastAsia="宋体"/>
          <w:sz w:val="18"/>
          <w:szCs w:val="18"/>
        </w:rPr>
      </w:pPr>
      <w:r>
        <w:rPr>
          <w:rFonts w:hint="eastAsia" w:ascii="Times New Roman" w:hAnsi="Times New Roman" w:eastAsia="宋体"/>
          <w:bCs/>
          <w:sz w:val="18"/>
          <w:szCs w:val="18"/>
        </w:rPr>
        <w:t>参考</w:t>
      </w:r>
      <w:r>
        <w:rPr>
          <w:rFonts w:ascii="Times New Roman" w:hAnsi="Times New Roman" w:eastAsia="宋体"/>
          <w:bCs/>
          <w:sz w:val="18"/>
          <w:szCs w:val="18"/>
        </w:rPr>
        <w:t>色谱柱：</w:t>
      </w:r>
      <w:r>
        <w:rPr>
          <w:rFonts w:ascii="Times New Roman" w:hAnsi="Times New Roman" w:eastAsia="宋体"/>
          <w:sz w:val="18"/>
          <w:szCs w:val="18"/>
        </w:rPr>
        <w:t>Agilent 5 TC-C18</w:t>
      </w:r>
      <w:r>
        <w:rPr>
          <w:rFonts w:hint="eastAsia" w:ascii="Times New Roman" w:hAnsi="Times New Roman" w:eastAsia="宋体"/>
          <w:sz w:val="18"/>
          <w:szCs w:val="18"/>
        </w:rPr>
        <w:t>（</w:t>
      </w:r>
      <w:r>
        <w:rPr>
          <w:rFonts w:ascii="Times New Roman" w:hAnsi="Times New Roman" w:eastAsia="宋体"/>
          <w:sz w:val="18"/>
          <w:szCs w:val="18"/>
        </w:rPr>
        <w:t>2</w:t>
      </w:r>
      <w:r>
        <w:rPr>
          <w:rFonts w:hint="eastAsia" w:ascii="Times New Roman" w:hAnsi="Times New Roman" w:eastAsia="宋体"/>
          <w:sz w:val="18"/>
          <w:szCs w:val="18"/>
        </w:rPr>
        <w:t>）</w:t>
      </w:r>
      <w:r>
        <w:rPr>
          <w:rFonts w:ascii="Times New Roman" w:hAnsi="Times New Roman" w:eastAsia="宋体"/>
          <w:sz w:val="18"/>
          <w:szCs w:val="18"/>
        </w:rPr>
        <w:t>，4.6mm×250mm，5μm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Lines="50" w:line="360" w:lineRule="auto"/>
        <w:ind w:firstLine="420" w:firstLineChars="200"/>
        <w:jc w:val="left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bCs/>
          <w:szCs w:val="21"/>
        </w:rPr>
        <w:t>【检查】</w:t>
      </w:r>
      <w:r>
        <w:rPr>
          <w:rFonts w:hint="eastAsia" w:ascii="黑体" w:hAnsi="黑体" w:eastAsia="黑体"/>
          <w:bCs/>
          <w:szCs w:val="21"/>
        </w:rPr>
        <w:t xml:space="preserve">  </w:t>
      </w:r>
      <w:r>
        <w:rPr>
          <w:rFonts w:ascii="黑体" w:hAnsi="黑体" w:eastAsia="黑体"/>
          <w:bCs/>
          <w:szCs w:val="21"/>
        </w:rPr>
        <w:t>毛两面针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取毛两面针素对照品，加乙醇制成每1ml含1mg的溶液，作为对照品溶液。照薄层色谱法（中国药典2020年版通则0502）试验，吸取</w:t>
      </w:r>
      <w:r>
        <w:rPr>
          <w:rFonts w:hint="eastAsia" w:ascii="Times New Roman" w:hAnsi="Times New Roman" w:eastAsia="宋体"/>
          <w:szCs w:val="21"/>
        </w:rPr>
        <w:t>〔</w:t>
      </w:r>
      <w:r>
        <w:rPr>
          <w:rFonts w:ascii="Times New Roman" w:hAnsi="Times New Roman" w:eastAsia="宋体"/>
          <w:szCs w:val="21"/>
        </w:rPr>
        <w:t>鉴别</w:t>
      </w:r>
      <w:r>
        <w:rPr>
          <w:rFonts w:hint="eastAsia" w:ascii="Times New Roman" w:hAnsi="Times New Roman" w:eastAsia="宋体"/>
          <w:szCs w:val="21"/>
        </w:rPr>
        <w:t>〕</w:t>
      </w:r>
      <w:r>
        <w:rPr>
          <w:rFonts w:ascii="Times New Roman" w:hAnsi="Times New Roman" w:eastAsia="宋体"/>
          <w:szCs w:val="21"/>
        </w:rPr>
        <w:t>（1）项下供试品溶液10μl、</w:t>
      </w:r>
      <w:r>
        <w:rPr>
          <w:rFonts w:hint="eastAsia" w:ascii="Times New Roman" w:hAnsi="Times New Roman" w:eastAsia="宋体"/>
          <w:szCs w:val="21"/>
        </w:rPr>
        <w:t>上述</w:t>
      </w:r>
      <w:r>
        <w:rPr>
          <w:rFonts w:ascii="Times New Roman" w:hAnsi="Times New Roman" w:eastAsia="宋体"/>
          <w:szCs w:val="21"/>
        </w:rPr>
        <w:t>对照品溶液2μl，分别点于同一硅胶G薄层板上，以石油醚（60</w:t>
      </w:r>
      <w:r>
        <w:rPr>
          <w:rFonts w:hint="eastAsia" w:ascii="Times New Roman" w:hAnsi="Times New Roman" w:eastAsia="宋体"/>
          <w:szCs w:val="21"/>
        </w:rPr>
        <w:t>~</w:t>
      </w:r>
      <w:r>
        <w:rPr>
          <w:rFonts w:ascii="Times New Roman" w:hAnsi="Times New Roman" w:eastAsia="宋体"/>
          <w:szCs w:val="21"/>
        </w:rPr>
        <w:t>90℃）-三氯甲烷-甲醇（2</w:t>
      </w:r>
      <w:r>
        <w:rPr>
          <w:rFonts w:hint="eastAsia" w:ascii="Times New Roman" w:hAnsi="Times New Roman" w:eastAsia="宋体"/>
          <w:szCs w:val="21"/>
        </w:rPr>
        <w:t>︰</w:t>
      </w:r>
      <w:r>
        <w:rPr>
          <w:rFonts w:ascii="Times New Roman" w:hAnsi="Times New Roman" w:eastAsia="宋体"/>
          <w:szCs w:val="21"/>
        </w:rPr>
        <w:t>13</w:t>
      </w:r>
      <w:r>
        <w:rPr>
          <w:rFonts w:hint="eastAsia" w:ascii="Times New Roman" w:hAnsi="Times New Roman" w:eastAsia="宋体"/>
          <w:szCs w:val="21"/>
        </w:rPr>
        <w:t>︰</w:t>
      </w:r>
      <w:r>
        <w:rPr>
          <w:rFonts w:ascii="Times New Roman" w:hAnsi="Times New Roman" w:eastAsia="宋体"/>
          <w:szCs w:val="21"/>
        </w:rPr>
        <w:t>1）为展开剂，预饱和20分钟，展开，取出，晾干，置紫外光灯（365nm）下检视。供试品色谱中，在与对照品色谱相应的位置上，应不得显相同颜色的荧光斑点。</w:t>
      </w:r>
    </w:p>
    <w:p>
      <w:pPr>
        <w:snapToGrid w:val="0"/>
        <w:spacing w:line="36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szCs w:val="21"/>
        </w:rPr>
        <w:t>其他</w:t>
      </w:r>
      <w:r>
        <w:rPr>
          <w:rFonts w:hint="eastAsia" w:ascii="黑体" w:hAnsi="黑体" w:eastAsia="黑体"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应符合颗粒剂项下有关的各项规定（中国药典2020年版通则0104）。</w:t>
      </w:r>
    </w:p>
    <w:p>
      <w:pPr>
        <w:snapToGrid w:val="0"/>
        <w:spacing w:line="36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szCs w:val="21"/>
        </w:rPr>
        <w:t>【浸出物】</w:t>
      </w:r>
      <w:r>
        <w:rPr>
          <w:rFonts w:hint="eastAsia" w:ascii="黑体" w:hAnsi="黑体" w:eastAsia="黑体"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取本品</w:t>
      </w:r>
      <w:r>
        <w:rPr>
          <w:rFonts w:hint="eastAsia" w:ascii="Times New Roman" w:hAnsi="Times New Roman" w:eastAsia="宋体"/>
          <w:szCs w:val="21"/>
        </w:rPr>
        <w:t>适量</w:t>
      </w:r>
      <w:r>
        <w:rPr>
          <w:rFonts w:ascii="Times New Roman" w:hAnsi="Times New Roman" w:eastAsia="宋体"/>
          <w:szCs w:val="21"/>
        </w:rPr>
        <w:t>，研细，取约2g，精密称定，精密加入乙醇100ml，照醇溶性浸出物测定法（中国药典2020年版通则2201）项下的热浸法测定，不得少于31.0%。</w:t>
      </w:r>
    </w:p>
    <w:p>
      <w:pPr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/>
          <w:szCs w:val="21"/>
          <w:u w:val="single"/>
        </w:rPr>
      </w:pPr>
      <w:r>
        <w:rPr>
          <w:rFonts w:ascii="黑体" w:hAnsi="黑体" w:eastAsia="黑体"/>
          <w:bCs/>
          <w:szCs w:val="21"/>
        </w:rPr>
        <w:t>【含量测定】</w:t>
      </w:r>
      <w:r>
        <w:rPr>
          <w:rFonts w:hint="eastAsia" w:ascii="黑体" w:hAnsi="黑体" w:eastAsia="黑体"/>
          <w:bCs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照高效液相色谱法（中国药典2020年版通则0512）测定。</w:t>
      </w:r>
    </w:p>
    <w:p>
      <w:pPr>
        <w:widowControl/>
        <w:snapToGrid w:val="0"/>
        <w:spacing w:line="36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bCs/>
          <w:kern w:val="0"/>
          <w:szCs w:val="21"/>
        </w:rPr>
        <w:t>色谱条件与系统适用性试验</w:t>
      </w:r>
      <w:r>
        <w:rPr>
          <w:rFonts w:hint="eastAsia" w:ascii="黑体" w:hAnsi="黑体" w:eastAsia="黑体"/>
          <w:bCs/>
          <w:kern w:val="0"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以十八烷基硅烷键合硅胶为填充剂；以乙腈为流动相A，以0.1%甲酸</w:t>
      </w:r>
      <w:r>
        <w:rPr>
          <w:rFonts w:hint="eastAsia" w:ascii="Times New Roman" w:hAnsi="Times New Roman" w:eastAsia="宋体"/>
          <w:szCs w:val="21"/>
        </w:rPr>
        <w:t>溶液</w:t>
      </w:r>
      <w:r>
        <w:rPr>
          <w:rFonts w:ascii="Times New Roman" w:hAnsi="Times New Roman" w:eastAsia="宋体"/>
          <w:szCs w:val="21"/>
        </w:rPr>
        <w:t>（</w:t>
      </w:r>
      <w:r>
        <w:rPr>
          <w:rFonts w:hint="eastAsia" w:ascii="Times New Roman" w:hAnsi="Times New Roman" w:eastAsia="宋体"/>
          <w:szCs w:val="21"/>
        </w:rPr>
        <w:t>用</w:t>
      </w:r>
      <w:r>
        <w:rPr>
          <w:rFonts w:ascii="Times New Roman" w:hAnsi="Times New Roman" w:eastAsia="宋体"/>
          <w:szCs w:val="21"/>
        </w:rPr>
        <w:t>三乙胺</w:t>
      </w:r>
      <w:r>
        <w:rPr>
          <w:rFonts w:hint="eastAsia" w:ascii="Times New Roman" w:hAnsi="Times New Roman" w:eastAsia="宋体"/>
          <w:szCs w:val="21"/>
        </w:rPr>
        <w:t>调节</w:t>
      </w:r>
      <w:r>
        <w:rPr>
          <w:rFonts w:ascii="Times New Roman" w:hAnsi="Times New Roman" w:eastAsia="宋体"/>
          <w:szCs w:val="21"/>
        </w:rPr>
        <w:t>pH</w:t>
      </w:r>
      <w:r>
        <w:rPr>
          <w:rFonts w:hint="eastAsia" w:ascii="Times New Roman" w:hAnsi="Times New Roman" w:eastAsia="宋体"/>
          <w:szCs w:val="21"/>
        </w:rPr>
        <w:t>值至</w:t>
      </w:r>
      <w:r>
        <w:rPr>
          <w:rFonts w:ascii="Times New Roman" w:hAnsi="Times New Roman" w:eastAsia="宋体"/>
          <w:szCs w:val="21"/>
        </w:rPr>
        <w:t>4.5）为流动相B，按下表中的规定进行梯度洗脱；柱温为30℃</w:t>
      </w:r>
      <w:r>
        <w:rPr>
          <w:rFonts w:hint="eastAsia" w:ascii="Times New Roman" w:hAnsi="Times New Roman" w:eastAsia="宋体"/>
          <w:szCs w:val="21"/>
        </w:rPr>
        <w:t>；</w:t>
      </w:r>
      <w:r>
        <w:rPr>
          <w:rFonts w:ascii="Times New Roman" w:hAnsi="Times New Roman" w:eastAsia="宋体"/>
          <w:szCs w:val="21"/>
        </w:rPr>
        <w:t>检测波长为273nm</w: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/>
          <w:szCs w:val="21"/>
        </w:rPr>
        <w:t>理论板数按氯化两面针碱峰计算应不低于2500。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宋体" w:eastAsia="宋体"/>
                <w:szCs w:val="21"/>
              </w:rPr>
              <w:t>时间（分钟）</w:t>
            </w:r>
          </w:p>
        </w:tc>
        <w:tc>
          <w:tcPr>
            <w:tcW w:w="166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宋体" w:eastAsia="宋体"/>
                <w:szCs w:val="21"/>
              </w:rPr>
              <w:t>流动相</w:t>
            </w:r>
            <w:r>
              <w:rPr>
                <w:rFonts w:ascii="Times New Roman" w:hAnsi="Times New Roman" w:eastAsia="宋体"/>
                <w:szCs w:val="21"/>
              </w:rPr>
              <w:t>A</w:t>
            </w:r>
            <w:r>
              <w:rPr>
                <w:rFonts w:ascii="Times New Roman" w:hAnsi="宋体" w:eastAsia="宋体"/>
                <w:szCs w:val="21"/>
              </w:rPr>
              <w:t>（</w:t>
            </w:r>
            <w:r>
              <w:rPr>
                <w:rFonts w:ascii="Times New Roman" w:hAnsi="Times New Roman" w:eastAsia="宋体"/>
                <w:szCs w:val="21"/>
              </w:rPr>
              <w:t>%</w:t>
            </w:r>
            <w:r>
              <w:rPr>
                <w:rFonts w:ascii="Times New Roman" w:hAnsi="宋体" w:eastAsia="宋体"/>
                <w:szCs w:val="21"/>
              </w:rPr>
              <w:t>）</w:t>
            </w:r>
          </w:p>
        </w:tc>
        <w:tc>
          <w:tcPr>
            <w:tcW w:w="166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宋体" w:eastAsia="宋体"/>
                <w:szCs w:val="21"/>
              </w:rPr>
              <w:t>流动相</w:t>
            </w:r>
            <w:r>
              <w:rPr>
                <w:rFonts w:ascii="Times New Roman" w:hAnsi="Times New Roman" w:eastAsia="宋体"/>
                <w:szCs w:val="21"/>
              </w:rPr>
              <w:t>B</w:t>
            </w:r>
            <w:r>
              <w:rPr>
                <w:rFonts w:ascii="Times New Roman" w:hAnsi="宋体" w:eastAsia="宋体"/>
                <w:szCs w:val="21"/>
              </w:rPr>
              <w:t>（</w:t>
            </w:r>
            <w:r>
              <w:rPr>
                <w:rFonts w:ascii="Times New Roman" w:hAnsi="Times New Roman" w:eastAsia="宋体"/>
                <w:szCs w:val="21"/>
              </w:rPr>
              <w:t>%</w:t>
            </w:r>
            <w:r>
              <w:rPr>
                <w:rFonts w:ascii="Times New Roman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66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0~30</w:t>
            </w:r>
          </w:p>
        </w:tc>
        <w:tc>
          <w:tcPr>
            <w:tcW w:w="1667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20→50</w:t>
            </w:r>
          </w:p>
        </w:tc>
        <w:tc>
          <w:tcPr>
            <w:tcW w:w="1667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80→50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30~35</w:t>
            </w:r>
          </w:p>
        </w:tc>
        <w:tc>
          <w:tcPr>
            <w:tcW w:w="1667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50→100</w:t>
            </w:r>
          </w:p>
        </w:tc>
        <w:tc>
          <w:tcPr>
            <w:tcW w:w="1667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50→0</w:t>
            </w:r>
          </w:p>
        </w:tc>
      </w:tr>
    </w:tbl>
    <w:p>
      <w:pPr>
        <w:adjustRightInd w:val="0"/>
        <w:snapToGrid w:val="0"/>
        <w:spacing w:beforeLines="50" w:line="360" w:lineRule="auto"/>
        <w:ind w:firstLine="420" w:firstLineChars="200"/>
        <w:rPr>
          <w:rFonts w:ascii="Times New Roman" w:hAnsi="Times New Roman" w:eastAsia="宋体"/>
          <w:b/>
          <w:szCs w:val="21"/>
        </w:rPr>
      </w:pPr>
      <w:r>
        <w:rPr>
          <w:rFonts w:ascii="黑体" w:hAnsi="黑体" w:eastAsia="黑体"/>
          <w:szCs w:val="21"/>
        </w:rPr>
        <w:t>对照品溶液的制备</w:t>
      </w:r>
      <w:r>
        <w:rPr>
          <w:rFonts w:hint="eastAsia" w:ascii="黑体" w:hAnsi="黑体" w:eastAsia="黑体"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取氯化两面针碱对照品适量，精密称定，加70%甲醇制成每1ml含10μg的溶液，即得。</w:t>
      </w:r>
    </w:p>
    <w:p>
      <w:pPr>
        <w:tabs>
          <w:tab w:val="left" w:pos="2880"/>
          <w:tab w:val="left" w:pos="5520"/>
        </w:tabs>
        <w:snapToGrid w:val="0"/>
        <w:spacing w:line="360" w:lineRule="auto"/>
        <w:ind w:firstLine="420" w:firstLineChars="200"/>
        <w:rPr>
          <w:rFonts w:ascii="Times New Roman" w:hAnsi="Times New Roman" w:eastAsia="宋体"/>
          <w:b/>
          <w:szCs w:val="21"/>
        </w:rPr>
      </w:pPr>
      <w:r>
        <w:rPr>
          <w:rFonts w:ascii="黑体" w:hAnsi="黑体" w:eastAsia="黑体"/>
          <w:szCs w:val="21"/>
        </w:rPr>
        <w:t>供试品溶液的制备</w:t>
      </w:r>
      <w:r>
        <w:rPr>
          <w:rFonts w:hint="eastAsia" w:ascii="黑体" w:hAnsi="黑体" w:eastAsia="黑体"/>
          <w:szCs w:val="21"/>
        </w:rPr>
        <w:t xml:space="preserve">  </w:t>
      </w:r>
      <w:r>
        <w:rPr>
          <w:rFonts w:ascii="黑体" w:hAnsi="黑体" w:eastAsia="黑体"/>
          <w:szCs w:val="21"/>
        </w:rPr>
        <w:t>方法</w:t>
      </w:r>
      <w:r>
        <w:rPr>
          <w:rFonts w:ascii="Times New Roman" w:hAnsi="Times New Roman" w:eastAsia="宋体"/>
          <w:szCs w:val="21"/>
        </w:rPr>
        <w:t>取本品</w:t>
      </w:r>
      <w:r>
        <w:rPr>
          <w:rFonts w:hint="eastAsia" w:ascii="Times New Roman" w:hAnsi="Times New Roman" w:eastAsia="宋体"/>
          <w:szCs w:val="21"/>
        </w:rPr>
        <w:t>适量</w:t>
      </w:r>
      <w:r>
        <w:rPr>
          <w:rFonts w:ascii="Times New Roman" w:hAnsi="Times New Roman" w:eastAsia="宋体"/>
          <w:szCs w:val="21"/>
        </w:rPr>
        <w:t>，研细，取约0.1g，精密称定，置具塞锥形瓶中，精密加入70%甲醇50ml，称定重量，超声处理（功率250W，频率40kHz）30分钟，放冷，再称定重量，用70%甲醇补足减失的重量，摇匀，滤过，取续滤液，即得。</w:t>
      </w:r>
    </w:p>
    <w:p>
      <w:pPr>
        <w:widowControl/>
        <w:snapToGrid w:val="0"/>
        <w:spacing w:line="360" w:lineRule="auto"/>
        <w:ind w:firstLine="434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bCs/>
          <w:szCs w:val="21"/>
        </w:rPr>
        <w:t>测定法</w:t>
      </w:r>
      <w:r>
        <w:rPr>
          <w:rFonts w:hint="eastAsia" w:ascii="黑体" w:hAnsi="黑体" w:eastAsia="黑体"/>
          <w:bCs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分别精密吸取对照品溶液与供试品溶液各10μl，注入液相色谱仪中，测定，即得。</w:t>
      </w:r>
    </w:p>
    <w:p>
      <w:pPr>
        <w:snapToGrid w:val="0"/>
        <w:spacing w:line="36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kern w:val="0"/>
          <w:szCs w:val="21"/>
        </w:rPr>
        <w:t>本品每1g含氯化两面针碱（C</w:t>
      </w:r>
      <w:r>
        <w:rPr>
          <w:rFonts w:ascii="Times New Roman" w:hAnsi="Times New Roman" w:eastAsia="宋体"/>
          <w:kern w:val="0"/>
          <w:szCs w:val="21"/>
          <w:vertAlign w:val="subscript"/>
        </w:rPr>
        <w:t>21</w:t>
      </w:r>
      <w:r>
        <w:rPr>
          <w:rFonts w:ascii="Times New Roman" w:hAnsi="Times New Roman" w:eastAsia="宋体"/>
          <w:kern w:val="0"/>
          <w:szCs w:val="21"/>
        </w:rPr>
        <w:t>H</w:t>
      </w:r>
      <w:r>
        <w:rPr>
          <w:rFonts w:ascii="Times New Roman" w:hAnsi="Times New Roman" w:eastAsia="宋体"/>
          <w:kern w:val="0"/>
          <w:szCs w:val="21"/>
          <w:vertAlign w:val="subscript"/>
        </w:rPr>
        <w:t>18</w:t>
      </w:r>
      <w:r>
        <w:rPr>
          <w:rFonts w:hint="eastAsia" w:ascii="Times New Roman" w:hAnsi="Times New Roman" w:eastAsia="宋体"/>
          <w:kern w:val="0"/>
          <w:szCs w:val="21"/>
        </w:rPr>
        <w:t>O</w:t>
      </w:r>
      <w:r>
        <w:rPr>
          <w:rFonts w:ascii="Times New Roman" w:hAnsi="Times New Roman" w:eastAsia="宋体"/>
          <w:kern w:val="0"/>
          <w:szCs w:val="21"/>
          <w:vertAlign w:val="subscript"/>
        </w:rPr>
        <w:t>4</w:t>
      </w:r>
      <w:r>
        <w:rPr>
          <w:rFonts w:ascii="Times New Roman" w:hAnsi="Times New Roman"/>
          <w:szCs w:val="21"/>
        </w:rPr>
        <w:t>•</w:t>
      </w:r>
      <w:r>
        <w:rPr>
          <w:rFonts w:ascii="Times New Roman" w:hAnsi="Times New Roman" w:eastAsia="宋体"/>
          <w:kern w:val="0"/>
          <w:szCs w:val="21"/>
        </w:rPr>
        <w:t>Cl）应为1.4mg</w:t>
      </w:r>
      <w:r>
        <w:rPr>
          <w:rFonts w:hint="eastAsia" w:ascii="Times New Roman" w:hAnsi="Times New Roman" w:eastAsia="宋体"/>
          <w:kern w:val="0"/>
          <w:szCs w:val="21"/>
        </w:rPr>
        <w:t>~</w:t>
      </w:r>
      <w:r>
        <w:rPr>
          <w:rFonts w:ascii="Times New Roman" w:hAnsi="Times New Roman" w:eastAsia="宋体"/>
          <w:kern w:val="0"/>
          <w:szCs w:val="21"/>
        </w:rPr>
        <w:t>5.0mg。</w:t>
      </w:r>
    </w:p>
    <w:p>
      <w:pPr>
        <w:snapToGrid w:val="0"/>
        <w:spacing w:line="360" w:lineRule="auto"/>
        <w:ind w:firstLine="411" w:firstLineChars="196"/>
        <w:rPr>
          <w:rFonts w:ascii="Times New Roman" w:hAnsi="Times New Roman" w:eastAsia="宋体"/>
          <w:szCs w:val="21"/>
        </w:rPr>
      </w:pPr>
      <w:r>
        <w:rPr>
          <w:rFonts w:ascii="黑体" w:hAnsi="黑体" w:eastAsia="黑体"/>
          <w:szCs w:val="21"/>
        </w:rPr>
        <w:t>【规格】</w:t>
      </w:r>
      <w:r>
        <w:rPr>
          <w:rFonts w:hint="eastAsia" w:ascii="黑体" w:hAnsi="黑体" w:eastAsia="黑体"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每1g配方颗粒相当于饮片12g</w:t>
      </w:r>
    </w:p>
    <w:p>
      <w:pPr>
        <w:snapToGrid w:val="0"/>
        <w:spacing w:line="360" w:lineRule="auto"/>
        <w:ind w:firstLine="420" w:firstLineChars="200"/>
        <w:rPr>
          <w:rFonts w:ascii="Times New Roman" w:hAnsi="Times New Roman"/>
          <w:b/>
          <w:szCs w:val="21"/>
        </w:rPr>
      </w:pPr>
      <w:r>
        <w:rPr>
          <w:rFonts w:ascii="黑体" w:hAnsi="黑体" w:eastAsia="黑体"/>
          <w:szCs w:val="21"/>
        </w:rPr>
        <w:t>【贮藏】</w:t>
      </w:r>
      <w:r>
        <w:rPr>
          <w:rFonts w:hint="eastAsia" w:ascii="黑体" w:hAnsi="黑体" w:eastAsia="黑体"/>
          <w:szCs w:val="21"/>
        </w:rPr>
        <w:t xml:space="preserve">  </w:t>
      </w:r>
      <w:r>
        <w:rPr>
          <w:rFonts w:ascii="Times New Roman" w:hAnsi="Times New Roman" w:eastAsia="宋体"/>
          <w:szCs w:val="21"/>
        </w:rPr>
        <w:t>密封。</w:t>
      </w:r>
    </w:p>
    <w:p>
      <w:pPr>
        <w:snapToGrid w:val="0"/>
        <w:spacing w:line="360" w:lineRule="auto"/>
        <w:ind w:firstLine="480"/>
        <w:rPr>
          <w:rFonts w:ascii="Times New Roman" w:hAnsi="Times New Roman"/>
          <w:b/>
          <w:szCs w:val="21"/>
        </w:rPr>
      </w:pPr>
    </w:p>
    <w:p>
      <w:pPr>
        <w:snapToGrid w:val="0"/>
        <w:spacing w:line="360" w:lineRule="auto"/>
        <w:ind w:firstLine="480"/>
        <w:rPr>
          <w:rFonts w:ascii="Times New Roman" w:hAnsi="Times New Roman"/>
          <w:b/>
          <w:szCs w:val="21"/>
        </w:rPr>
      </w:pPr>
    </w:p>
    <w:p>
      <w:pPr>
        <w:snapToGrid w:val="0"/>
        <w:spacing w:line="360" w:lineRule="auto"/>
        <w:ind w:firstLine="480"/>
        <w:rPr>
          <w:rFonts w:ascii="Times New Roman" w:hAnsi="Times New Roman"/>
          <w:b/>
          <w:szCs w:val="21"/>
        </w:rPr>
      </w:pPr>
    </w:p>
    <w:p>
      <w:pPr>
        <w:snapToGrid w:val="0"/>
        <w:spacing w:line="360" w:lineRule="auto"/>
        <w:jc w:val="center"/>
        <w:rPr>
          <w:rFonts w:ascii="Times New Roman" w:hAnsi="Times New Roman" w:eastAsia="宋体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广东省中药配方颗粒质量标准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iNjZlYjk3ZmQ4YjkxMjIwM2U2ZjI0NTBmNTYxYmYifQ=="/>
  </w:docVars>
  <w:rsids>
    <w:rsidRoot w:val="00AA5B60"/>
    <w:rsid w:val="0002067D"/>
    <w:rsid w:val="000535D3"/>
    <w:rsid w:val="00065C24"/>
    <w:rsid w:val="000710FC"/>
    <w:rsid w:val="00076560"/>
    <w:rsid w:val="00087F24"/>
    <w:rsid w:val="000A677A"/>
    <w:rsid w:val="000C1AA8"/>
    <w:rsid w:val="000C70D1"/>
    <w:rsid w:val="000E6734"/>
    <w:rsid w:val="0010046B"/>
    <w:rsid w:val="001167FF"/>
    <w:rsid w:val="00116FE2"/>
    <w:rsid w:val="00117B17"/>
    <w:rsid w:val="001327B4"/>
    <w:rsid w:val="001364A1"/>
    <w:rsid w:val="00147D07"/>
    <w:rsid w:val="00154B51"/>
    <w:rsid w:val="00170519"/>
    <w:rsid w:val="001760D0"/>
    <w:rsid w:val="00195981"/>
    <w:rsid w:val="001D2C6B"/>
    <w:rsid w:val="00200553"/>
    <w:rsid w:val="002077CB"/>
    <w:rsid w:val="0021093F"/>
    <w:rsid w:val="002416E8"/>
    <w:rsid w:val="00251E63"/>
    <w:rsid w:val="0029126E"/>
    <w:rsid w:val="002978FD"/>
    <w:rsid w:val="0030142D"/>
    <w:rsid w:val="003429AE"/>
    <w:rsid w:val="00357492"/>
    <w:rsid w:val="00367367"/>
    <w:rsid w:val="00382B01"/>
    <w:rsid w:val="00395F8C"/>
    <w:rsid w:val="003A6FBD"/>
    <w:rsid w:val="003B4DCB"/>
    <w:rsid w:val="003C3A6C"/>
    <w:rsid w:val="003E5C56"/>
    <w:rsid w:val="003F118D"/>
    <w:rsid w:val="00421EFF"/>
    <w:rsid w:val="0042216E"/>
    <w:rsid w:val="00430CA7"/>
    <w:rsid w:val="00431220"/>
    <w:rsid w:val="004566E3"/>
    <w:rsid w:val="00460540"/>
    <w:rsid w:val="00473D72"/>
    <w:rsid w:val="0048257A"/>
    <w:rsid w:val="004962E4"/>
    <w:rsid w:val="004B5775"/>
    <w:rsid w:val="004B5AC1"/>
    <w:rsid w:val="004D4B7F"/>
    <w:rsid w:val="004F0AC9"/>
    <w:rsid w:val="005119A5"/>
    <w:rsid w:val="00514321"/>
    <w:rsid w:val="00515DE9"/>
    <w:rsid w:val="00520D48"/>
    <w:rsid w:val="00534064"/>
    <w:rsid w:val="005340A4"/>
    <w:rsid w:val="0054514B"/>
    <w:rsid w:val="00562B9D"/>
    <w:rsid w:val="00596678"/>
    <w:rsid w:val="005A3E30"/>
    <w:rsid w:val="005B5DEE"/>
    <w:rsid w:val="005C225E"/>
    <w:rsid w:val="005D1943"/>
    <w:rsid w:val="005D72B8"/>
    <w:rsid w:val="005E4CD2"/>
    <w:rsid w:val="005E7EC5"/>
    <w:rsid w:val="005F2BE9"/>
    <w:rsid w:val="006064B4"/>
    <w:rsid w:val="0063405C"/>
    <w:rsid w:val="00634E6D"/>
    <w:rsid w:val="00635633"/>
    <w:rsid w:val="006408DE"/>
    <w:rsid w:val="00643B64"/>
    <w:rsid w:val="00653597"/>
    <w:rsid w:val="006538AA"/>
    <w:rsid w:val="0065632B"/>
    <w:rsid w:val="006635F2"/>
    <w:rsid w:val="00667262"/>
    <w:rsid w:val="00671A31"/>
    <w:rsid w:val="00673996"/>
    <w:rsid w:val="00695A47"/>
    <w:rsid w:val="0069614D"/>
    <w:rsid w:val="006B0117"/>
    <w:rsid w:val="006D4186"/>
    <w:rsid w:val="006F27B7"/>
    <w:rsid w:val="0070782A"/>
    <w:rsid w:val="007146F0"/>
    <w:rsid w:val="0072484E"/>
    <w:rsid w:val="00725964"/>
    <w:rsid w:val="007344E1"/>
    <w:rsid w:val="00765CD7"/>
    <w:rsid w:val="00782781"/>
    <w:rsid w:val="007A2427"/>
    <w:rsid w:val="007B046C"/>
    <w:rsid w:val="007B5728"/>
    <w:rsid w:val="007E0E2A"/>
    <w:rsid w:val="00803DCF"/>
    <w:rsid w:val="008277B2"/>
    <w:rsid w:val="00842A84"/>
    <w:rsid w:val="00850A8F"/>
    <w:rsid w:val="00861B1C"/>
    <w:rsid w:val="00864BC9"/>
    <w:rsid w:val="00872BDD"/>
    <w:rsid w:val="008802B8"/>
    <w:rsid w:val="00880B58"/>
    <w:rsid w:val="008A7160"/>
    <w:rsid w:val="008B3AB2"/>
    <w:rsid w:val="008B4F72"/>
    <w:rsid w:val="008C1631"/>
    <w:rsid w:val="008C178D"/>
    <w:rsid w:val="008D7FAC"/>
    <w:rsid w:val="008E788F"/>
    <w:rsid w:val="008F7603"/>
    <w:rsid w:val="00943895"/>
    <w:rsid w:val="009503B3"/>
    <w:rsid w:val="009661FD"/>
    <w:rsid w:val="0097580A"/>
    <w:rsid w:val="00990C7A"/>
    <w:rsid w:val="00993BB4"/>
    <w:rsid w:val="009A1334"/>
    <w:rsid w:val="009B09D0"/>
    <w:rsid w:val="009C0853"/>
    <w:rsid w:val="009C44D0"/>
    <w:rsid w:val="009D5EFC"/>
    <w:rsid w:val="009F057D"/>
    <w:rsid w:val="009F7F55"/>
    <w:rsid w:val="00A403F6"/>
    <w:rsid w:val="00A409DB"/>
    <w:rsid w:val="00A504F2"/>
    <w:rsid w:val="00A64961"/>
    <w:rsid w:val="00A6770C"/>
    <w:rsid w:val="00A81FB6"/>
    <w:rsid w:val="00A92CCF"/>
    <w:rsid w:val="00AA10C1"/>
    <w:rsid w:val="00AA5B60"/>
    <w:rsid w:val="00AB2260"/>
    <w:rsid w:val="00AE2B0C"/>
    <w:rsid w:val="00AF2F9B"/>
    <w:rsid w:val="00B14655"/>
    <w:rsid w:val="00B47A59"/>
    <w:rsid w:val="00B5050B"/>
    <w:rsid w:val="00B72379"/>
    <w:rsid w:val="00B8353A"/>
    <w:rsid w:val="00B854B5"/>
    <w:rsid w:val="00B90B95"/>
    <w:rsid w:val="00B966CE"/>
    <w:rsid w:val="00B97302"/>
    <w:rsid w:val="00BB2A24"/>
    <w:rsid w:val="00BC7DBE"/>
    <w:rsid w:val="00BD5374"/>
    <w:rsid w:val="00BF430E"/>
    <w:rsid w:val="00C1064F"/>
    <w:rsid w:val="00C15F03"/>
    <w:rsid w:val="00C16C7A"/>
    <w:rsid w:val="00C2413B"/>
    <w:rsid w:val="00C266FF"/>
    <w:rsid w:val="00C3396F"/>
    <w:rsid w:val="00C7089D"/>
    <w:rsid w:val="00C77E81"/>
    <w:rsid w:val="00C83EFA"/>
    <w:rsid w:val="00CA467B"/>
    <w:rsid w:val="00CB196B"/>
    <w:rsid w:val="00CB3590"/>
    <w:rsid w:val="00CB612D"/>
    <w:rsid w:val="00CC3268"/>
    <w:rsid w:val="00CE0BC3"/>
    <w:rsid w:val="00CE3CA6"/>
    <w:rsid w:val="00CE532F"/>
    <w:rsid w:val="00D0597A"/>
    <w:rsid w:val="00D0771C"/>
    <w:rsid w:val="00D07CCF"/>
    <w:rsid w:val="00D146CB"/>
    <w:rsid w:val="00D3647A"/>
    <w:rsid w:val="00D459B1"/>
    <w:rsid w:val="00D462C0"/>
    <w:rsid w:val="00D54501"/>
    <w:rsid w:val="00D55D22"/>
    <w:rsid w:val="00D629D7"/>
    <w:rsid w:val="00D728F3"/>
    <w:rsid w:val="00D84890"/>
    <w:rsid w:val="00DA0C26"/>
    <w:rsid w:val="00DB5114"/>
    <w:rsid w:val="00DB7527"/>
    <w:rsid w:val="00DD5F03"/>
    <w:rsid w:val="00DD5F53"/>
    <w:rsid w:val="00DE28AF"/>
    <w:rsid w:val="00DF14E6"/>
    <w:rsid w:val="00E01DF3"/>
    <w:rsid w:val="00E0555C"/>
    <w:rsid w:val="00E11CC5"/>
    <w:rsid w:val="00E3017E"/>
    <w:rsid w:val="00E33B05"/>
    <w:rsid w:val="00E344BA"/>
    <w:rsid w:val="00E40A05"/>
    <w:rsid w:val="00E5561A"/>
    <w:rsid w:val="00E558C0"/>
    <w:rsid w:val="00E5799A"/>
    <w:rsid w:val="00E75B89"/>
    <w:rsid w:val="00E81B79"/>
    <w:rsid w:val="00E84D46"/>
    <w:rsid w:val="00E92CC5"/>
    <w:rsid w:val="00E93D87"/>
    <w:rsid w:val="00EA3304"/>
    <w:rsid w:val="00EB11EF"/>
    <w:rsid w:val="00EB3DEC"/>
    <w:rsid w:val="00EB6C15"/>
    <w:rsid w:val="00EC434E"/>
    <w:rsid w:val="00ED513A"/>
    <w:rsid w:val="00ED73B8"/>
    <w:rsid w:val="00EE16E7"/>
    <w:rsid w:val="00EF3579"/>
    <w:rsid w:val="00EF7402"/>
    <w:rsid w:val="00F413C1"/>
    <w:rsid w:val="00F573D4"/>
    <w:rsid w:val="00F6272D"/>
    <w:rsid w:val="00F634C3"/>
    <w:rsid w:val="00F8034D"/>
    <w:rsid w:val="00FC1DDE"/>
    <w:rsid w:val="00FC433D"/>
    <w:rsid w:val="00FC7D7B"/>
    <w:rsid w:val="00FC7FEE"/>
    <w:rsid w:val="00FD2965"/>
    <w:rsid w:val="00FE0864"/>
    <w:rsid w:val="00FE737E"/>
    <w:rsid w:val="00FF7769"/>
    <w:rsid w:val="018B2F14"/>
    <w:rsid w:val="06363358"/>
    <w:rsid w:val="09FC713C"/>
    <w:rsid w:val="0EE10B58"/>
    <w:rsid w:val="0F5F59D1"/>
    <w:rsid w:val="0FCE6640"/>
    <w:rsid w:val="10972A18"/>
    <w:rsid w:val="112D6ED0"/>
    <w:rsid w:val="114E21B4"/>
    <w:rsid w:val="1F465072"/>
    <w:rsid w:val="20313650"/>
    <w:rsid w:val="22FA0825"/>
    <w:rsid w:val="2B8B36DD"/>
    <w:rsid w:val="2E9C4566"/>
    <w:rsid w:val="3CEB61C4"/>
    <w:rsid w:val="485B16A7"/>
    <w:rsid w:val="48897CAA"/>
    <w:rsid w:val="50A724BB"/>
    <w:rsid w:val="519C1795"/>
    <w:rsid w:val="55A11D59"/>
    <w:rsid w:val="5AF6289B"/>
    <w:rsid w:val="651B4C99"/>
    <w:rsid w:val="6B7A5ED7"/>
    <w:rsid w:val="6F723162"/>
    <w:rsid w:val="77717A67"/>
    <w:rsid w:val="791942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link w:val="26"/>
    <w:unhideWhenUsed/>
    <w:qFormat/>
    <w:uiPriority w:val="35"/>
    <w:rPr>
      <w:rFonts w:ascii="Arial" w:hAnsi="Arial" w:eastAsia="黑体"/>
      <w:sz w:val="20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table" w:customStyle="1" w:styleId="13">
    <w:name w:val="网格型1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网格型2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批注框文本 Char"/>
    <w:basedOn w:val="10"/>
    <w:link w:val="4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17">
    <w:name w:val="Quote"/>
    <w:basedOn w:val="1"/>
    <w:next w:val="1"/>
    <w:link w:val="18"/>
    <w:qFormat/>
    <w:uiPriority w:val="29"/>
    <w:pPr>
      <w:jc w:val="center"/>
    </w:pPr>
    <w:rPr>
      <w:rFonts w:ascii="Times New Roman" w:hAnsi="Times New Roman" w:eastAsia="宋体" w:cstheme="minorBidi"/>
      <w:iCs/>
      <w:color w:val="000000" w:themeColor="text1"/>
      <w:sz w:val="18"/>
      <w14:textFill>
        <w14:solidFill>
          <w14:schemeClr w14:val="tx1"/>
        </w14:solidFill>
      </w14:textFill>
    </w:rPr>
  </w:style>
  <w:style w:type="character" w:customStyle="1" w:styleId="18">
    <w:name w:val="引用 Char"/>
    <w:basedOn w:val="10"/>
    <w:link w:val="17"/>
    <w:qFormat/>
    <w:uiPriority w:val="29"/>
    <w:rPr>
      <w:rFonts w:ascii="Times New Roman" w:hAnsi="Times New Roman" w:eastAsia="宋体"/>
      <w:iCs/>
      <w:color w:val="000000" w:themeColor="text1"/>
      <w:sz w:val="18"/>
      <w14:textFill>
        <w14:solidFill>
          <w14:schemeClr w14:val="tx1"/>
        </w14:solidFill>
      </w14:textFill>
    </w:rPr>
  </w:style>
  <w:style w:type="paragraph" w:customStyle="1" w:styleId="19">
    <w:name w:val="表格"/>
    <w:basedOn w:val="1"/>
    <w:link w:val="20"/>
    <w:qFormat/>
    <w:uiPriority w:val="0"/>
    <w:pPr>
      <w:jc w:val="center"/>
    </w:pPr>
    <w:rPr>
      <w:rFonts w:ascii="Times New Roman" w:hAnsi="Times New Roman" w:eastAsia="宋体"/>
      <w:sz w:val="18"/>
    </w:rPr>
  </w:style>
  <w:style w:type="character" w:customStyle="1" w:styleId="20">
    <w:name w:val="表格 Char"/>
    <w:basedOn w:val="10"/>
    <w:link w:val="19"/>
    <w:qFormat/>
    <w:uiPriority w:val="0"/>
    <w:rPr>
      <w:rFonts w:ascii="Times New Roman" w:hAnsi="Times New Roman" w:eastAsia="宋体" w:cs="Times New Roman"/>
      <w:sz w:val="18"/>
    </w:rPr>
  </w:style>
  <w:style w:type="paragraph" w:customStyle="1" w:styleId="21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Times New Roman" w:hAnsi="Times New Roman" w:eastAsia="宋体" w:cs="黑体"/>
      <w:sz w:val="24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3">
    <w:name w:val="font21"/>
    <w:basedOn w:val="10"/>
    <w:qFormat/>
    <w:uiPriority w:val="0"/>
    <w:rPr>
      <w:rFonts w:hint="default" w:ascii="Times New Roman" w:hAnsi="Times New Roman" w:cs="Times New Roman"/>
      <w:color w:val="FF0000"/>
      <w:sz w:val="22"/>
      <w:szCs w:val="22"/>
      <w:u w:val="none"/>
    </w:rPr>
  </w:style>
  <w:style w:type="paragraph" w:customStyle="1" w:styleId="24">
    <w:name w:val="引用1"/>
    <w:basedOn w:val="1"/>
    <w:next w:val="1"/>
    <w:qFormat/>
    <w:uiPriority w:val="29"/>
    <w:pPr>
      <w:adjustRightInd w:val="0"/>
      <w:snapToGrid w:val="0"/>
      <w:jc w:val="center"/>
    </w:pPr>
    <w:rPr>
      <w:rFonts w:ascii="Times New Roman" w:hAnsi="Times New Roman" w:eastAsia="宋体" w:cstheme="minorBidi"/>
      <w:iCs/>
      <w:color w:val="000000"/>
      <w:sz w:val="18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character" w:customStyle="1" w:styleId="26">
    <w:name w:val="题注 Char"/>
    <w:basedOn w:val="10"/>
    <w:link w:val="2"/>
    <w:qFormat/>
    <w:uiPriority w:val="0"/>
    <w:rPr>
      <w:rFonts w:ascii="Arial" w:hAnsi="Arial" w:eastAsia="黑体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1921</Words>
  <Characters>2371</Characters>
  <Lines>18</Lines>
  <Paragraphs>5</Paragraphs>
  <TotalTime>10</TotalTime>
  <ScaleCrop>false</ScaleCrop>
  <LinksUpToDate>false</LinksUpToDate>
  <CharactersWithSpaces>2419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2022-05-14T14:28:00Z</dcterms:created>
  <dc:creator>GDIDC</dc:creator>
  <cp:lastModifiedBy>知秋一叶</cp:lastModifiedBy>
  <cp:lastPrinted>2020-08-08T02:52:00Z</cp:lastPrinted>
  <dcterms:modified xsi:type="dcterms:W3CDTF">2022-06-28T05:21:43Z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D228E2EDDEBE46A9BE4C6998568BC335</vt:lpwstr>
  </property>
</Properties>
</file>