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苇茎配方颗粒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Weijing</w:t>
      </w:r>
      <w:r>
        <w:rPr>
          <w:rFonts w:ascii="Times New Roman" w:hAnsi="Times New Roman" w:cs="Times New Roman"/>
          <w:sz w:val="24"/>
          <w:szCs w:val="24"/>
        </w:rPr>
        <w:t>Peifang</w:t>
      </w:r>
      <w:r>
        <w:rPr>
          <w:rFonts w:hint="eastAsia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【</w:t>
      </w:r>
      <w:r>
        <w:rPr>
          <w:rFonts w:hint="eastAsia" w:ascii="黑体" w:hAnsi="黑体" w:eastAsia="黑体"/>
          <w:szCs w:val="21"/>
        </w:rPr>
        <w:t>来源</w:t>
      </w:r>
      <w:r>
        <w:rPr>
          <w:rFonts w:ascii="Times New Roman" w:hAnsi="Times New Roman" w:cs="Times New Roman"/>
          <w:b/>
          <w:szCs w:val="21"/>
        </w:rPr>
        <w:t>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本品为禾本科植物芦苇</w:t>
      </w:r>
      <w:r>
        <w:rPr>
          <w:rFonts w:ascii="Times New Roman" w:hAnsi="Times New Roman" w:cs="Times New Roman"/>
          <w:i/>
          <w:iCs/>
          <w:szCs w:val="21"/>
        </w:rPr>
        <w:t>Phragmitescommunis</w:t>
      </w:r>
      <w:r>
        <w:rPr>
          <w:rFonts w:ascii="Times New Roman" w:hAnsi="Times New Roman" w:cs="Times New Roman"/>
          <w:szCs w:val="21"/>
        </w:rPr>
        <w:t xml:space="preserve"> (Cav.)Trin〔Ph.communis(L.) Trin〕的</w:t>
      </w:r>
      <w:bookmarkStart w:id="1" w:name="_GoBack"/>
      <w:bookmarkEnd w:id="1"/>
      <w:r>
        <w:rPr>
          <w:rFonts w:ascii="Times New Roman" w:hAnsi="Times New Roman" w:cs="Times New Roman"/>
          <w:szCs w:val="21"/>
        </w:rPr>
        <w:t>干燥茎经炮制并按标准汤剂的主要质量指标加工制成的配方颗粒。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hint="eastAsia" w:ascii="Times New Roman" w:hAnsi="Times New Roman" w:cs="Times New Roman"/>
          <w:szCs w:val="21"/>
        </w:rPr>
        <w:t>生产用饮片炮制</w:t>
      </w:r>
      <w:r>
        <w:rPr>
          <w:rFonts w:ascii="Times New Roman" w:hAnsi="Times New Roman" w:cs="Times New Roman"/>
          <w:szCs w:val="21"/>
        </w:rPr>
        <w:t>】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1"/>
        </w:rPr>
        <w:t>应按照《浙江省中药炮制规范》</w:t>
      </w:r>
      <w:r>
        <w:rPr>
          <w:rFonts w:ascii="Times New Roman" w:hAnsi="Times New Roman" w:cs="Times New Roman"/>
          <w:szCs w:val="21"/>
        </w:rPr>
        <w:t>1986</w:t>
      </w:r>
      <w:r>
        <w:rPr>
          <w:rFonts w:hint="eastAsia" w:ascii="Times New Roman" w:hAnsi="Times New Roman" w:cs="Times New Roman"/>
          <w:szCs w:val="21"/>
        </w:rPr>
        <w:t>年</w:t>
      </w:r>
      <w:r>
        <w:rPr>
          <w:rFonts w:hint="eastAsia" w:cs="Times New Roman"/>
          <w:szCs w:val="24"/>
        </w:rPr>
        <w:t>版</w:t>
      </w:r>
      <w:r>
        <w:rPr>
          <w:rFonts w:hint="eastAsia" w:ascii="Times New Roman" w:hAnsi="Times New Roman" w:cs="Times New Roman"/>
          <w:szCs w:val="21"/>
        </w:rPr>
        <w:t>“苇茎”项下规定的方法炮制。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【</w:t>
      </w:r>
      <w:r>
        <w:rPr>
          <w:rFonts w:hint="eastAsia" w:ascii="黑体" w:hAnsi="黑体" w:eastAsia="黑体"/>
          <w:szCs w:val="21"/>
        </w:rPr>
        <w:t>制法</w:t>
      </w:r>
      <w:r>
        <w:rPr>
          <w:rFonts w:ascii="Times New Roman" w:hAnsi="Times New Roman" w:cs="Times New Roman"/>
          <w:b/>
          <w:szCs w:val="21"/>
        </w:rPr>
        <w:t>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取苇茎饮片8000g，加水煎煮，滤过，滤液浓缩成清膏（干浸膏出膏率为6.5%~10.5%），加辅料适量，干燥（或干燥，粉碎），再加入辅料适量，混匀，制粒，制成1000g，即得。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hint="eastAsia" w:ascii="黑体" w:hAnsi="黑体" w:eastAsia="黑体"/>
          <w:szCs w:val="21"/>
        </w:rPr>
        <w:t>性状</w:t>
      </w:r>
      <w:r>
        <w:rPr>
          <w:rFonts w:ascii="Times New Roman" w:hAnsi="Times New Roman" w:cs="Times New Roman"/>
          <w:szCs w:val="21"/>
        </w:rPr>
        <w:t>】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</w:t>
      </w:r>
      <w:r>
        <w:rPr>
          <w:rFonts w:cs="Times New Roman"/>
          <w:szCs w:val="21"/>
        </w:rPr>
        <w:t>本品</w:t>
      </w:r>
      <w:r>
        <w:rPr>
          <w:rFonts w:hint="eastAsia" w:cs="Times New Roman"/>
          <w:szCs w:val="21"/>
        </w:rPr>
        <w:t>为棕黄色至深棕色的颗粒；气微，味微苦</w:t>
      </w:r>
      <w:r>
        <w:rPr>
          <w:rFonts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【</w:t>
      </w:r>
      <w:r>
        <w:rPr>
          <w:rFonts w:hint="eastAsia" w:ascii="黑体" w:hAnsi="黑体" w:eastAsia="黑体"/>
          <w:szCs w:val="21"/>
        </w:rPr>
        <w:t>鉴别</w:t>
      </w:r>
      <w:r>
        <w:rPr>
          <w:rFonts w:ascii="Times New Roman" w:hAnsi="Times New Roman" w:cs="Times New Roman"/>
          <w:bCs/>
          <w:szCs w:val="21"/>
        </w:rPr>
        <w:t>】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取本品</w:t>
      </w:r>
      <w:r>
        <w:rPr>
          <w:rFonts w:hint="eastAsia" w:ascii="Times New Roman" w:hAnsi="Times New Roman" w:cs="Times New Roman"/>
          <w:szCs w:val="21"/>
          <w:lang w:val="en-US" w:eastAsia="zh-CN"/>
        </w:rPr>
        <w:t>适量，</w:t>
      </w:r>
      <w:r>
        <w:rPr>
          <w:rFonts w:ascii="Times New Roman" w:hAnsi="Times New Roman" w:cs="Times New Roman"/>
          <w:szCs w:val="21"/>
        </w:rPr>
        <w:t>研细，</w:t>
      </w:r>
      <w:r>
        <w:rPr>
          <w:rFonts w:hint="eastAsia" w:ascii="Times New Roman" w:hAnsi="Times New Roman" w:cs="Times New Roman"/>
          <w:szCs w:val="21"/>
          <w:lang w:val="en-US" w:eastAsia="zh-CN"/>
        </w:rPr>
        <w:t>取</w:t>
      </w:r>
      <w:r>
        <w:rPr>
          <w:rFonts w:ascii="Times New Roman" w:hAnsi="Times New Roman" w:cs="Times New Roman"/>
          <w:szCs w:val="21"/>
        </w:rPr>
        <w:t>0.5g，加甲醇20ml，超声处理30分钟，滤过，滤液蒸干，残渣加甲醇1ml使溶解，作为供试品溶液。另取阿魏酸对照品，加甲醇制成每1ml含1mg的溶液，作为对照品溶液。照薄层色谱法（中国药典2020年版通则0502）试验，吸取供试品溶液5μl、对照品溶液2μl，分别点于同一硅胶G薄层板上，以甲苯-乙酸乙酯-甲酸-甲醇（4︰5︰0.2︰0.1）为展开剂，展开，取出，晾干，喷以新配制的1%三氯化铁和1%铁氰化钾（1︰1）的混合溶液。供试品色谱中，在与对照品色谱相应的位置上，显相同颜色的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【</w:t>
      </w:r>
      <w:r>
        <w:rPr>
          <w:rFonts w:hint="eastAsia" w:ascii="黑体" w:hAnsi="黑体" w:eastAsia="黑体"/>
          <w:szCs w:val="21"/>
        </w:rPr>
        <w:t>特征图谱</w:t>
      </w:r>
      <w:r>
        <w:rPr>
          <w:rFonts w:ascii="Times New Roman" w:hAnsi="Times New Roman" w:cs="Times New Roman"/>
          <w:b/>
          <w:szCs w:val="21"/>
        </w:rPr>
        <w:t>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bCs/>
          <w:szCs w:val="21"/>
        </w:rPr>
        <w:t>照高效液相色谱法（</w:t>
      </w:r>
      <w:r>
        <w:rPr>
          <w:rFonts w:hint="eastAsia" w:ascii="Times New Roman" w:hAnsi="Times New Roman" w:cs="Times New Roman"/>
          <w:bCs/>
          <w:szCs w:val="21"/>
        </w:rPr>
        <w:t>中国药典2020</w:t>
      </w:r>
      <w:r>
        <w:rPr>
          <w:rFonts w:ascii="Times New Roman" w:hAnsi="Times New Roman" w:cs="Times New Roman"/>
          <w:bCs/>
          <w:szCs w:val="21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色谱条件与系统适用性试验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bCs/>
          <w:szCs w:val="21"/>
        </w:rPr>
        <w:t>以十八烷基硅烷键合硅胶为填充剂（柱长为100mm，内径为2.1 mm，粒径为1.8μm)；以乙腈为流动相A，以0.1%磷酸溶液为流动相B，按下表中的规定进行梯度洗脱；流速为每分钟0.35ml；柱温为45℃；检测波长为254nm。理论板数按4-香豆酸峰计算应不低于3000</w:t>
      </w:r>
      <w:r>
        <w:rPr>
          <w:rFonts w:ascii="Times New Roman" w:hAnsi="Times New Roman" w:cs="Times New Roman"/>
          <w:bCs/>
          <w:szCs w:val="24"/>
        </w:rPr>
        <w:t>。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2945"/>
        <w:gridCol w:w="292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54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时间（分钟）</w:t>
            </w:r>
          </w:p>
        </w:tc>
        <w:tc>
          <w:tcPr>
            <w:tcW w:w="172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流动相A（%）</w:t>
            </w:r>
          </w:p>
        </w:tc>
        <w:tc>
          <w:tcPr>
            <w:tcW w:w="171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649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0～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294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0</w:t>
            </w:r>
          </w:p>
        </w:tc>
        <w:tc>
          <w:tcPr>
            <w:tcW w:w="292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64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8→10</w:t>
            </w:r>
          </w:p>
        </w:tc>
        <w:tc>
          <w:tcPr>
            <w:tcW w:w="29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92→90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649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7～2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94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0→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292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0→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bookmarkStart w:id="0" w:name="OLE_LINK5"/>
      <w:r>
        <w:rPr>
          <w:rFonts w:ascii="黑体" w:hAnsi="黑体" w:eastAsia="黑体"/>
          <w:szCs w:val="21"/>
        </w:rPr>
        <w:t>参照物溶液的制备</w:t>
      </w:r>
      <w:r>
        <w:rPr>
          <w:rFonts w:hint="eastAsia" w:ascii="黑体" w:hAnsi="黑体" w:eastAsia="黑体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取苇茎对照药材1g，置具塞锥形瓶中，加水50ml，加热回流45分钟，取出，放冷，滤过，取续滤液25ml，用乙酸乙酯振摇提取2次，每次25ml，合并乙酸乙酯液，80℃水浴蒸干，残渣加甲醇溶解，转移至5ml量瓶中，加甲醇至刻度，摇匀，滤过，取续滤液，作为对照药材参照物溶液。另取〔含量测定〕项下的对照品溶液，作为对照品参照物溶液。再取对羟基苯甲醛对照品、香草酸对照品、阿魏酸对照品适量，精密称定，加甲醇制成每1ml各含5μg的混合溶液，作为对照品参照物溶液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eastAsia="黑体" w:cs="Times New Roman"/>
          <w:szCs w:val="21"/>
        </w:rPr>
        <w:t>供试品溶液的制备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>取本品适量，研细，取0.5g，置具塞锥形瓶中，加水25ml，超声处理（功率250W，频率40kHz）30分钟，取出，放冷，滤过，取续滤液15ml，用乙酸乙酯振摇提取2次，每次15ml，合并乙酸乙酯液，80℃水浴蒸干，残渣加甲醇溶解，转移至5ml量瓶中，加甲醇至刻度，摇匀，滤过，取续滤液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eastAsia="黑体" w:cs="Times New Roman"/>
          <w:szCs w:val="21"/>
        </w:rPr>
        <w:t>测定法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分别精密吸取参照物溶液和供试品溶液各</w:t>
      </w:r>
      <w:r>
        <w:rPr>
          <w:rFonts w:hint="eastAsia"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μl，注入液相色谱仪，测定，即得。</w:t>
      </w:r>
    </w:p>
    <w:bookmarkEnd w:id="0"/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Cs/>
          <w:szCs w:val="21"/>
          <w:highlight w:val="yellow"/>
        </w:rPr>
      </w:pPr>
      <w:r>
        <w:rPr>
          <w:rFonts w:ascii="Times New Roman" w:hAnsi="Times New Roman" w:cs="Times New Roman"/>
          <w:szCs w:val="21"/>
        </w:rPr>
        <w:t>供试品色谱中应呈现6个特征峰，并应与对照药材参照物色谱中的6个特征峰保留时间相对应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ascii="Times New Roman" w:hAnsi="Times New Roman" w:cs="Times New Roman"/>
          <w:szCs w:val="21"/>
        </w:rPr>
        <w:t>其中峰1、峰2、峰3、峰5、峰6应分别与相应对照品参照物峰保留时间相对应。与4-香豆酸对照品参照物峰相对应的峰为S峰，计算峰4与S峰的相对保留时间，其相对保留时间应在规定值的±10%范围之内，规定值为：0.95（峰4）。</w:t>
      </w:r>
    </w:p>
    <w:p>
      <w:pPr>
        <w:adjustRightInd w:val="0"/>
        <w:snapToGrid w:val="0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FF0000"/>
          <w:kern w:val="0"/>
          <w:szCs w:val="21"/>
        </w:rPr>
      </w:pPr>
      <w:r>
        <w:rPr>
          <w:rFonts w:ascii="Times New Roman" w:hAnsi="Times New Roman" w:cs="Times New Roman"/>
          <w:b/>
          <w:bCs/>
          <w:iCs/>
          <w:color w:val="FF0000"/>
          <w:kern w:val="0"/>
          <w:szCs w:val="21"/>
        </w:rPr>
        <w:drawing>
          <wp:inline distT="0" distB="0" distL="0" distR="0">
            <wp:extent cx="5219700" cy="2120265"/>
            <wp:effectExtent l="0" t="0" r="0" b="1333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9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1202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jc w:val="center"/>
        <w:textAlignment w:val="auto"/>
        <w:rPr>
          <w:rFonts w:ascii="Times New Roman" w:hAnsi="Times New Roman" w:cs="Times New Roman"/>
          <w:b/>
          <w:bCs/>
          <w:iCs/>
          <w:kern w:val="0"/>
          <w:szCs w:val="21"/>
        </w:rPr>
      </w:pPr>
      <w:r>
        <w:rPr>
          <w:rFonts w:ascii="Times New Roman" w:hAnsi="Times New Roman" w:cs="Times New Roman"/>
          <w:b/>
          <w:bCs/>
          <w:iCs/>
          <w:kern w:val="0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jc w:val="center"/>
        <w:textAlignment w:val="auto"/>
        <w:rPr>
          <w:rFonts w:ascii="Times New Roman" w:hAnsi="Times New Roman" w:cs="Times New Roman"/>
          <w:sz w:val="18"/>
          <w:szCs w:val="21"/>
        </w:rPr>
      </w:pPr>
      <w:r>
        <w:rPr>
          <w:rFonts w:ascii="Times New Roman" w:hAnsi="Times New Roman" w:cs="Times New Roman"/>
          <w:sz w:val="18"/>
          <w:szCs w:val="21"/>
        </w:rPr>
        <w:t>峰1：对羟基苯甲酸；峰2：对羟基苯甲醛；峰3：香草酸；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jc w:val="center"/>
        <w:textAlignment w:val="auto"/>
        <w:rPr>
          <w:rFonts w:ascii="Times New Roman" w:hAnsi="Times New Roman" w:cs="Times New Roman"/>
          <w:sz w:val="18"/>
          <w:szCs w:val="21"/>
        </w:rPr>
      </w:pPr>
      <w:r>
        <w:rPr>
          <w:rFonts w:ascii="Times New Roman" w:hAnsi="Times New Roman" w:cs="Times New Roman"/>
          <w:sz w:val="18"/>
          <w:szCs w:val="21"/>
        </w:rPr>
        <w:t>峰5（S）：4-香豆酸；峰6：阿魏酸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276" w:lineRule="auto"/>
        <w:jc w:val="center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18"/>
          <w:szCs w:val="18"/>
        </w:rPr>
        <w:t>参考色谱柱：ZORBAX SB-Aq  2.1 mm×100 mm，1.8μm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/>
          <w:szCs w:val="21"/>
        </w:rPr>
        <w:t>【</w:t>
      </w:r>
      <w:r>
        <w:rPr>
          <w:rFonts w:ascii="黑体" w:hAnsi="黑体" w:eastAsia="黑体"/>
          <w:szCs w:val="21"/>
        </w:rPr>
        <w:t>检查</w:t>
      </w:r>
      <w:r>
        <w:rPr>
          <w:rFonts w:ascii="Times New Roman" w:hAnsi="Times New Roman" w:cs="Times New Roman"/>
          <w:b/>
          <w:szCs w:val="21"/>
        </w:rPr>
        <w:t>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hint="eastAsia" w:ascii="黑体" w:hAnsi="黑体" w:eastAsia="黑体"/>
          <w:szCs w:val="21"/>
        </w:rPr>
        <w:t>溶化性</w:t>
      </w:r>
      <w:r>
        <w:rPr>
          <w:rFonts w:hint="eastAsia" w:ascii="黑体" w:hAnsi="黑体" w:eastAsia="黑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Cs/>
          <w:szCs w:val="21"/>
        </w:rPr>
        <w:t>照颗粒剂溶化性检查方法（中国药典2020年版通则0104）检查，取供试品10g（单剂量包装取1袋），加热水200ml，加热煮沸5分钟并搅拌，立即观察，应全部溶化或轻微浑浊，并不得有焦屑等异物</w:t>
      </w:r>
      <w:r>
        <w:rPr>
          <w:rFonts w:ascii="Times New Roman" w:hAnsi="Times New Roman" w:cs="Times New Roman"/>
          <w:bCs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</w:pPr>
      <w:r>
        <w:rPr>
          <w:rFonts w:hint="eastAsia" w:ascii="黑体" w:hAnsi="黑体" w:eastAsia="黑体"/>
          <w:szCs w:val="21"/>
        </w:rPr>
        <w:t>其他</w:t>
      </w:r>
      <w:r>
        <w:rPr>
          <w:rFonts w:hint="eastAsia" w:ascii="黑体" w:hAnsi="黑体" w:eastAsia="黑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Cs/>
          <w:szCs w:val="21"/>
        </w:rPr>
        <w:t>应符合颗粒剂项下有关的各项规定（中国药典2020年版通则0104）。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【</w:t>
      </w:r>
      <w:r>
        <w:rPr>
          <w:rFonts w:hint="eastAsia" w:ascii="黑体" w:hAnsi="黑体" w:eastAsia="黑体" w:cs="黑体"/>
          <w:szCs w:val="21"/>
        </w:rPr>
        <w:t>浸出物</w:t>
      </w:r>
      <w:r>
        <w:rPr>
          <w:rFonts w:hint="eastAsia" w:ascii="黑体" w:hAnsi="黑体" w:eastAsia="黑体" w:cs="黑体"/>
          <w:b/>
          <w:szCs w:val="21"/>
        </w:rPr>
        <w:t>】</w:t>
      </w:r>
      <w:r>
        <w:rPr>
          <w:rFonts w:hint="eastAsia" w:ascii="黑体" w:hAnsi="黑体" w:eastAsia="黑体" w:cs="黑体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取本品适量，研细，取约2g，精密称定，精密加入乙醇100ml，照醇溶性浸出物测定法（中国药典2020年版通则2201）项下的热浸法测定，不得少于</w:t>
      </w:r>
      <w:r>
        <w:rPr>
          <w:rFonts w:hint="eastAsia"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8.0%。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b w:val="0"/>
          <w:bCs w:val="0"/>
          <w:szCs w:val="21"/>
        </w:rPr>
        <w:t>【含量测定】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照高效液相色谱法（</w:t>
      </w:r>
      <w:r>
        <w:rPr>
          <w:rFonts w:hint="eastAsia" w:ascii="Times New Roman" w:hAnsi="Times New Roman" w:cs="Times New Roman"/>
          <w:szCs w:val="21"/>
        </w:rPr>
        <w:t>中国药典2020年版</w:t>
      </w:r>
      <w:r>
        <w:rPr>
          <w:rFonts w:ascii="Times New Roman" w:hAnsi="Times New Roman" w:cs="Times New Roman"/>
          <w:szCs w:val="21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szCs w:val="21"/>
        </w:rPr>
        <w:t>色谱条件与系统适用性试验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以十八烷基硅烷键合硅胶为填充剂（柱长为100mm，内径为2.1mm，粒径为1.8μm）；以乙腈为流动相A，以0.1%磷酸溶液为流动相B，按下表中的规定进行梯度洗脱；流速为每分钟0.4ml；柱温为45℃；检测波长为256nm（对羟基苯甲酸）、310nm（4-香豆酸）。理论板数按4-香豆酸峰计算应不低于3000。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2946"/>
        <w:gridCol w:w="292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54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时间（分钟）</w:t>
            </w:r>
          </w:p>
        </w:tc>
        <w:tc>
          <w:tcPr>
            <w:tcW w:w="172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流动相A（%）</w:t>
            </w:r>
          </w:p>
        </w:tc>
        <w:tc>
          <w:tcPr>
            <w:tcW w:w="1717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54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729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11</w:t>
            </w:r>
          </w:p>
        </w:tc>
        <w:tc>
          <w:tcPr>
            <w:tcW w:w="1717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5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17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→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17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89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→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54" w:type="pc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1729" w:type="pc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717" w:type="pc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szCs w:val="21"/>
        </w:rPr>
        <w:t>对照品溶液的制备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取对羟基苯甲酸对照品、4-香豆酸对照品适量，精密称定，加50%甲醇制成每1ml含对羟基苯甲酸3μg、4-香豆酸40μg的溶液，即得。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szCs w:val="21"/>
        </w:rPr>
        <w:t>供试品溶液的制备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取本品适量，研细，取约0.5g，精密称定，置具塞锥形瓶中，精密加入50%甲醇25ml，密塞，称定重量，超声处理（功率250W，频率40kHz）30分钟，放冷，再称定重量，用50%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hint="eastAsia" w:ascii="黑体" w:hAnsi="黑体" w:eastAsia="黑体" w:cs="黑体"/>
          <w:szCs w:val="21"/>
        </w:rPr>
        <w:t>测定法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分别精密吸取对照品溶液与供试品溶液各</w:t>
      </w:r>
      <w:r>
        <w:rPr>
          <w:rFonts w:hint="eastAsia"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本品每1g含对羟基苯甲酸(C</w:t>
      </w:r>
      <w:r>
        <w:rPr>
          <w:rFonts w:ascii="Times New Roman" w:hAnsi="Times New Roman" w:cs="Times New Roman"/>
          <w:szCs w:val="21"/>
          <w:vertAlign w:val="subscript"/>
        </w:rPr>
        <w:t>7</w:t>
      </w:r>
      <w:r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6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)和4-香豆酸(C</w:t>
      </w:r>
      <w:r>
        <w:rPr>
          <w:rFonts w:ascii="Times New Roman" w:hAnsi="Times New Roman" w:cs="Times New Roman"/>
          <w:szCs w:val="21"/>
          <w:vertAlign w:val="subscript"/>
        </w:rPr>
        <w:t>9</w:t>
      </w:r>
      <w:r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8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)的总量应为0.8mg~3.0mg。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eastAsia="黑体" w:cs="Times New Roman"/>
          <w:szCs w:val="21"/>
        </w:rPr>
        <w:t>规格</w:t>
      </w:r>
      <w:r>
        <w:rPr>
          <w:rFonts w:ascii="Times New Roman" w:hAnsi="Times New Roman" w:cs="Times New Roman"/>
          <w:szCs w:val="21"/>
        </w:rPr>
        <w:t>】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每1g配方颗粒相当于饮片</w:t>
      </w: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2" w:firstLineChars="200"/>
        <w:textAlignment w:val="auto"/>
      </w:pPr>
      <w:r>
        <w:rPr>
          <w:rFonts w:ascii="Times New Roman" w:hAnsi="Times New Roman" w:cs="Times New Roman"/>
          <w:b/>
          <w:szCs w:val="21"/>
        </w:rPr>
        <w:t>【</w:t>
      </w:r>
      <w:r>
        <w:rPr>
          <w:rFonts w:ascii="黑体" w:hAnsi="黑体" w:eastAsia="黑体"/>
          <w:szCs w:val="21"/>
        </w:rPr>
        <w:t>贮藏</w:t>
      </w:r>
      <w:r>
        <w:rPr>
          <w:rFonts w:ascii="Times New Roman" w:hAnsi="Times New Roman" w:cs="Times New Roman"/>
          <w:b/>
          <w:szCs w:val="21"/>
        </w:rPr>
        <w:t>】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/>
          <w:szCs w:val="21"/>
        </w:rPr>
        <w:t>密封。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center"/>
    </w:pPr>
    <w:r>
      <w:rPr>
        <w:rFonts w:hint="eastAsia" w:ascii="方正小标宋简体" w:eastAsia="方正小标宋简体"/>
        <w:sz w:val="28"/>
        <w:szCs w:val="28"/>
      </w:rPr>
      <w:t>广东省中药配方颗粒质量标准公示稿</w:t>
    </w:r>
    <w:r>
      <w:pict>
        <v:shape id="PowerPlusWaterMarkObject359980955" o:spid="_x0000_s3073" o:spt="136" type="#_x0000_t136" style="position:absolute;left:0pt;margin-left:-137.95pt;margin-top:313.85pt;height:40.2pt;width:643.2pt;mso-position-horizontal-relative:margin;mso-position-vertical-relative:margin;rotation:20643840f;z-index:-251657216;mso-width-relative:page;mso-height-relative:page;" fillcolor="#393737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广东省中药配方颗粒质量标准公示稿" style="font-family:Simsun;font-size:4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E2ZWRjMjk3NzNkZTYyYWIzMzBmZGQ5MTY3YjFhZDkifQ=="/>
  </w:docVars>
  <w:rsids>
    <w:rsidRoot w:val="70E358B0"/>
    <w:rsid w:val="0015062E"/>
    <w:rsid w:val="00611C88"/>
    <w:rsid w:val="007D1217"/>
    <w:rsid w:val="007D6AFB"/>
    <w:rsid w:val="00825B7B"/>
    <w:rsid w:val="00D3759A"/>
    <w:rsid w:val="00D616BC"/>
    <w:rsid w:val="00DC3DCC"/>
    <w:rsid w:val="01C3730E"/>
    <w:rsid w:val="02D26E27"/>
    <w:rsid w:val="16714FDF"/>
    <w:rsid w:val="20440AB5"/>
    <w:rsid w:val="2C505A39"/>
    <w:rsid w:val="34075EA5"/>
    <w:rsid w:val="3468334C"/>
    <w:rsid w:val="40D42D3B"/>
    <w:rsid w:val="45D77461"/>
    <w:rsid w:val="697D353F"/>
    <w:rsid w:val="6CC17D9F"/>
    <w:rsid w:val="6E540C94"/>
    <w:rsid w:val="70E358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1980</Characters>
  <Lines>16</Lines>
  <Paragraphs>4</Paragraphs>
  <TotalTime>2</TotalTime>
  <ScaleCrop>false</ScaleCrop>
  <LinksUpToDate>false</LinksUpToDate>
  <CharactersWithSpaces>2323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2022-12-15T00:55:00Z</dcterms:created>
  <dc:creator>何嘉莹</dc:creator>
  <cp:lastModifiedBy>admin</cp:lastModifiedBy>
  <dcterms:modified xsi:type="dcterms:W3CDTF">2023-01-19T05:01:01Z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4E4E788069DC4E33814FEEA90BFE2AE3</vt:lpwstr>
  </property>
</Properties>
</file>