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adjustRightInd w:val="0"/>
        <w:snapToGrid w:val="0"/>
        <w:spacing w:line="360" w:lineRule="auto"/>
        <w:ind w:firstLine="0" w:firstLineChars="0"/>
        <w:jc w:val="center"/>
        <w:rPr>
          <w:rFonts w:hint="default" w:ascii="Times New Roman" w:hAnsi="Times New Roman" w:eastAsia="黑体" w:cs="Times New Roman"/>
          <w:b w:val="0"/>
          <w:bCs w:val="0"/>
          <w:sz w:val="28"/>
          <w:szCs w:val="28"/>
        </w:rPr>
      </w:pPr>
      <w:r>
        <w:rPr>
          <w:rFonts w:hint="default" w:ascii="Times New Roman" w:hAnsi="Times New Roman" w:eastAsia="黑体" w:cs="Times New Roman"/>
          <w:b w:val="0"/>
          <w:bCs w:val="0"/>
          <w:sz w:val="28"/>
          <w:szCs w:val="28"/>
          <w:lang w:eastAsia="zh-CN"/>
        </w:rPr>
        <w:t>花生衣</w:t>
      </w:r>
      <w:r>
        <w:rPr>
          <w:rFonts w:hint="default" w:ascii="Times New Roman" w:hAnsi="Times New Roman" w:eastAsia="黑体" w:cs="Times New Roman"/>
          <w:b w:val="0"/>
          <w:bCs w:val="0"/>
          <w:sz w:val="28"/>
          <w:szCs w:val="28"/>
        </w:rPr>
        <w:t>配方颗粒</w:t>
      </w:r>
    </w:p>
    <w:p>
      <w:pPr>
        <w:pageBreakBefore w:val="0"/>
        <w:kinsoku/>
        <w:wordWrap/>
        <w:overflowPunct/>
        <w:topLinePunct w:val="0"/>
        <w:bidi w:val="0"/>
        <w:adjustRightInd w:val="0"/>
        <w:snapToGrid w:val="0"/>
        <w:spacing w:line="360" w:lineRule="auto"/>
        <w:ind w:firstLine="0" w:firstLineChars="0"/>
        <w:jc w:val="center"/>
        <w:rPr>
          <w:rFonts w:hint="default" w:ascii="Times New Roman" w:hAnsi="Times New Roman" w:eastAsia="宋体" w:cs="Times New Roman"/>
          <w:sz w:val="24"/>
          <w:szCs w:val="24"/>
        </w:rPr>
      </w:pPr>
      <w:r>
        <w:rPr>
          <w:rFonts w:hint="default" w:ascii="Times New Roman" w:hAnsi="Times New Roman" w:cs="Times New Roman"/>
          <w:bCs/>
          <w:szCs w:val="28"/>
          <w:lang w:val="en-US" w:eastAsia="zh-CN"/>
        </w:rPr>
        <w:t>Huashengyi</w:t>
      </w:r>
      <w:r>
        <w:rPr>
          <w:rFonts w:hint="default" w:ascii="Times New Roman" w:hAnsi="Times New Roman" w:cs="Times New Roman"/>
          <w:bCs/>
          <w:szCs w:val="28"/>
        </w:rPr>
        <w:t xml:space="preserve"> Peifangkeli</w:t>
      </w:r>
    </w:p>
    <w:p>
      <w:pPr>
        <w:pageBreakBefore w:val="0"/>
        <w:kinsoku/>
        <w:wordWrap/>
        <w:overflowPunct/>
        <w:topLinePunct w:val="0"/>
        <w:bidi w:val="0"/>
        <w:adjustRightInd w:val="0"/>
        <w:snapToGrid w:val="0"/>
        <w:spacing w:line="360" w:lineRule="auto"/>
        <w:ind w:firstLine="0" w:firstLineChars="0"/>
        <w:jc w:val="center"/>
        <w:rPr>
          <w:rFonts w:hint="default" w:ascii="Times New Roman" w:hAnsi="Times New Roman" w:eastAsia="宋体" w:cs="Times New Roman"/>
          <w:sz w:val="21"/>
          <w:szCs w:val="21"/>
        </w:rPr>
      </w:pPr>
    </w:p>
    <w:p>
      <w:pPr>
        <w:pageBreakBefore w:val="0"/>
        <w:kinsoku/>
        <w:wordWrap/>
        <w:overflowPunct/>
        <w:topLinePunct w:val="0"/>
        <w:bidi w:val="0"/>
        <w:adjustRightInd w:val="0"/>
        <w:snapToGrid w:val="0"/>
        <w:spacing w:line="360" w:lineRule="auto"/>
        <w:ind w:firstLine="422"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w:t>
      </w:r>
      <w:r>
        <w:rPr>
          <w:rFonts w:hint="default" w:ascii="Times New Roman" w:hAnsi="Times New Roman" w:eastAsia="黑体" w:cs="Times New Roman"/>
          <w:bCs/>
          <w:szCs w:val="21"/>
        </w:rPr>
        <w:t>来源</w:t>
      </w:r>
      <w:r>
        <w:rPr>
          <w:rFonts w:hint="default" w:ascii="Times New Roman" w:hAnsi="Times New Roman" w:eastAsia="宋体" w:cs="Times New Roman"/>
          <w:b/>
          <w:sz w:val="21"/>
          <w:szCs w:val="21"/>
        </w:rPr>
        <w:t>】</w:t>
      </w:r>
      <w:r>
        <w:rPr>
          <w:rFonts w:hint="default" w:ascii="Times New Roman" w:hAnsi="Times New Roman" w:eastAsia="宋体" w:cs="Times New Roman"/>
          <w:b/>
          <w:sz w:val="21"/>
          <w:szCs w:val="21"/>
          <w:lang w:val="en-US" w:eastAsia="zh-CN"/>
        </w:rPr>
        <w:t xml:space="preserve"> </w:t>
      </w:r>
      <w:r>
        <w:rPr>
          <w:rFonts w:hint="default" w:ascii="Times New Roman" w:hAnsi="Times New Roman" w:eastAsia="宋体" w:cs="Times New Roman"/>
          <w:b/>
          <w:sz w:val="21"/>
          <w:szCs w:val="21"/>
        </w:rPr>
        <w:t xml:space="preserve"> </w:t>
      </w:r>
      <w:r>
        <w:rPr>
          <w:rFonts w:hint="default" w:ascii="Times New Roman" w:hAnsi="Times New Roman" w:eastAsia="宋体" w:cs="Times New Roman"/>
          <w:sz w:val="21"/>
          <w:szCs w:val="21"/>
        </w:rPr>
        <w:t>本品为豆科植物落花生</w:t>
      </w:r>
      <w:r>
        <w:rPr>
          <w:rFonts w:hint="default" w:ascii="Times New Roman" w:hAnsi="Times New Roman" w:eastAsia="宋体" w:cs="Times New Roman"/>
          <w:i/>
          <w:sz w:val="21"/>
          <w:szCs w:val="21"/>
        </w:rPr>
        <w:t>Arachis hypogaea</w:t>
      </w:r>
      <w:r>
        <w:rPr>
          <w:rFonts w:hint="default" w:ascii="Times New Roman" w:hAnsi="Times New Roman" w:eastAsia="宋体" w:cs="Times New Roman"/>
          <w:sz w:val="21"/>
          <w:szCs w:val="21"/>
        </w:rPr>
        <w:t xml:space="preserve"> L. 的成熟种子的种皮经炮制并按标准汤剂的主要质量指标加工制成的配方颗粒。</w:t>
      </w:r>
    </w:p>
    <w:p>
      <w:pPr>
        <w:pageBreakBefore w:val="0"/>
        <w:kinsoku/>
        <w:wordWrap/>
        <w:overflowPunct/>
        <w:topLinePunct w:val="0"/>
        <w:bidi w:val="0"/>
        <w:adjustRightInd w:val="0"/>
        <w:snapToGrid w:val="0"/>
        <w:spacing w:line="360" w:lineRule="auto"/>
        <w:ind w:firstLine="420" w:firstLineChars="2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eastAsia="zh-CN"/>
        </w:rPr>
        <w:t>【</w:t>
      </w:r>
      <w:r>
        <w:rPr>
          <w:rFonts w:hint="default" w:ascii="Times New Roman" w:hAnsi="Times New Roman" w:eastAsia="黑体" w:cs="Times New Roman"/>
          <w:bCs/>
          <w:szCs w:val="21"/>
          <w:lang w:val="en-US" w:eastAsia="zh-CN"/>
        </w:rPr>
        <w:t>生产用饮片的炮制</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highlight w:val="none"/>
          <w:lang w:val="en-US" w:eastAsia="zh-CN"/>
        </w:rPr>
        <w:t>应按照</w:t>
      </w:r>
      <w:r>
        <w:rPr>
          <w:rFonts w:hint="default" w:ascii="Times New Roman" w:hAnsi="Times New Roman" w:eastAsia="宋体" w:cs="Times New Roman"/>
          <w:sz w:val="21"/>
          <w:szCs w:val="21"/>
          <w:lang w:val="en-US" w:eastAsia="zh-CN"/>
        </w:rPr>
        <w:t>《吉林省中药材标准》</w:t>
      </w:r>
      <w:r>
        <w:rPr>
          <w:rFonts w:hint="eastAsia" w:ascii="Times New Roman" w:hAnsi="Times New Roman" w:cs="Times New Roman"/>
          <w:sz w:val="21"/>
          <w:szCs w:val="21"/>
          <w:lang w:val="en-US" w:eastAsia="zh-CN"/>
        </w:rPr>
        <w:t>（</w:t>
      </w:r>
      <w:r>
        <w:rPr>
          <w:rFonts w:hint="default" w:ascii="Times New Roman" w:hAnsi="Times New Roman" w:eastAsia="宋体" w:cs="Times New Roman"/>
          <w:sz w:val="21"/>
          <w:szCs w:val="21"/>
          <w:lang w:val="en-US" w:eastAsia="zh-CN"/>
        </w:rPr>
        <w:t>第二册</w:t>
      </w:r>
      <w:r>
        <w:rPr>
          <w:rFonts w:hint="eastAsia" w:ascii="Times New Roman" w:hAnsi="Times New Roman" w:cs="Times New Roman"/>
          <w:sz w:val="21"/>
          <w:szCs w:val="21"/>
          <w:lang w:val="en-US" w:eastAsia="zh-CN"/>
        </w:rPr>
        <w:t>）“</w:t>
      </w:r>
      <w:r>
        <w:rPr>
          <w:rFonts w:hint="default" w:ascii="Times New Roman" w:hAnsi="Times New Roman" w:eastAsia="宋体" w:cs="Times New Roman"/>
          <w:sz w:val="21"/>
          <w:szCs w:val="21"/>
          <w:lang w:val="en-US" w:eastAsia="zh-CN"/>
        </w:rPr>
        <w:t>花生衣</w:t>
      </w:r>
      <w:r>
        <w:rPr>
          <w:rFonts w:hint="eastAsia" w:ascii="Times New Roman" w:hAnsi="Times New Roman" w:cs="Times New Roman"/>
          <w:sz w:val="21"/>
          <w:szCs w:val="21"/>
          <w:lang w:val="en-US" w:eastAsia="zh-CN"/>
        </w:rPr>
        <w:t>”</w:t>
      </w:r>
      <w:bookmarkStart w:id="0" w:name="_GoBack"/>
      <w:bookmarkEnd w:id="0"/>
      <w:r>
        <w:rPr>
          <w:rFonts w:hint="default" w:ascii="Times New Roman" w:hAnsi="Times New Roman" w:eastAsia="宋体" w:cs="Times New Roman"/>
          <w:sz w:val="21"/>
          <w:szCs w:val="21"/>
          <w:highlight w:val="none"/>
          <w:lang w:val="en-US" w:eastAsia="zh-CN"/>
        </w:rPr>
        <w:t>项下规定的方法炮制</w:t>
      </w:r>
      <w:r>
        <w:rPr>
          <w:rFonts w:hint="default" w:ascii="Times New Roman" w:hAnsi="Times New Roman" w:eastAsia="宋体" w:cs="Times New Roman"/>
          <w:sz w:val="21"/>
          <w:szCs w:val="21"/>
          <w:lang w:val="en-US" w:eastAsia="zh-CN"/>
        </w:rPr>
        <w:t>。</w:t>
      </w:r>
    </w:p>
    <w:p>
      <w:pPr>
        <w:pageBreakBefore w:val="0"/>
        <w:kinsoku/>
        <w:wordWrap/>
        <w:overflowPunct/>
        <w:topLinePunct w:val="0"/>
        <w:bidi w:val="0"/>
        <w:adjustRightInd w:val="0"/>
        <w:snapToGrid w:val="0"/>
        <w:spacing w:line="360" w:lineRule="auto"/>
        <w:ind w:firstLine="422" w:firstLineChars="200"/>
        <w:jc w:val="both"/>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shd w:val="clear"/>
        </w:rPr>
        <w:t>【</w:t>
      </w:r>
      <w:r>
        <w:rPr>
          <w:rFonts w:hint="default" w:ascii="Times New Roman" w:hAnsi="Times New Roman" w:eastAsia="黑体" w:cs="Times New Roman"/>
          <w:bCs/>
          <w:szCs w:val="21"/>
          <w:lang w:val="en-US" w:eastAsia="zh-CN"/>
        </w:rPr>
        <w:t>制法</w:t>
      </w:r>
      <w:r>
        <w:rPr>
          <w:rFonts w:hint="default" w:ascii="Times New Roman" w:hAnsi="Times New Roman" w:eastAsia="宋体" w:cs="Times New Roman"/>
          <w:b/>
          <w:sz w:val="21"/>
          <w:szCs w:val="21"/>
          <w:highlight w:val="none"/>
          <w:shd w:val="clear"/>
        </w:rPr>
        <w:t xml:space="preserve">】 </w:t>
      </w:r>
      <w:r>
        <w:rPr>
          <w:rFonts w:hint="default" w:ascii="Times New Roman" w:hAnsi="Times New Roman" w:eastAsia="宋体" w:cs="Times New Roman"/>
          <w:b/>
          <w:sz w:val="21"/>
          <w:szCs w:val="21"/>
          <w:highlight w:val="none"/>
          <w:shd w:val="clear"/>
          <w:lang w:val="en-US" w:eastAsia="zh-CN"/>
        </w:rPr>
        <w:t xml:space="preserve"> </w:t>
      </w:r>
      <w:r>
        <w:rPr>
          <w:rFonts w:hint="default" w:ascii="Times New Roman" w:hAnsi="Times New Roman" w:eastAsia="宋体" w:cs="Times New Roman"/>
          <w:sz w:val="21"/>
          <w:szCs w:val="21"/>
          <w:highlight w:val="none"/>
        </w:rPr>
        <w:t>取花生衣饮片5000g，加水煎煮，滤过，滤液浓缩成清膏（干浸膏出膏率为10%</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17%），加入辅料适量，干燥</w:t>
      </w:r>
      <w:r>
        <w:rPr>
          <w:rFonts w:hint="default" w:ascii="Times New Roman" w:hAnsi="Times New Roman" w:eastAsia="宋体" w:cs="Times New Roman"/>
          <w:sz w:val="21"/>
          <w:szCs w:val="21"/>
          <w:highlight w:val="none"/>
          <w:lang w:eastAsia="zh-CN"/>
        </w:rPr>
        <w:t>（或干燥，粉碎）</w:t>
      </w:r>
      <w:r>
        <w:rPr>
          <w:rFonts w:hint="default" w:ascii="Times New Roman" w:hAnsi="Times New Roman" w:eastAsia="宋体" w:cs="Times New Roman"/>
          <w:sz w:val="21"/>
          <w:szCs w:val="21"/>
          <w:highlight w:val="none"/>
        </w:rPr>
        <w:t>，再加入辅料适量，混匀，制粒，制成 1000g，即得。</w:t>
      </w:r>
    </w:p>
    <w:p>
      <w:pPr>
        <w:pageBreakBefore w:val="0"/>
        <w:kinsoku/>
        <w:wordWrap/>
        <w:overflowPunct/>
        <w:topLinePunct w:val="0"/>
        <w:bidi w:val="0"/>
        <w:adjustRightInd w:val="0"/>
        <w:snapToGrid w:val="0"/>
        <w:spacing w:line="360" w:lineRule="auto"/>
        <w:ind w:firstLine="420"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r>
        <w:rPr>
          <w:rFonts w:hint="default" w:ascii="Times New Roman" w:hAnsi="Times New Roman" w:eastAsia="黑体" w:cs="Times New Roman"/>
          <w:bCs/>
          <w:szCs w:val="21"/>
          <w:lang w:val="en-US" w:eastAsia="zh-CN"/>
        </w:rPr>
        <w:t>性状</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本品为浅红棕色至红棕色的颗粒；气微，味微苦涩。</w:t>
      </w:r>
    </w:p>
    <w:p>
      <w:pPr>
        <w:pageBreakBefore w:val="0"/>
        <w:kinsoku/>
        <w:wordWrap/>
        <w:overflowPunct/>
        <w:topLinePunct w:val="0"/>
        <w:bidi w:val="0"/>
        <w:adjustRightInd w:val="0"/>
        <w:snapToGrid w:val="0"/>
        <w:spacing w:line="360" w:lineRule="auto"/>
        <w:ind w:firstLine="422" w:firstLineChars="200"/>
        <w:jc w:val="both"/>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w:t>
      </w:r>
      <w:r>
        <w:rPr>
          <w:rFonts w:hint="default" w:ascii="Times New Roman" w:hAnsi="Times New Roman" w:eastAsia="黑体" w:cs="Times New Roman"/>
          <w:bCs/>
          <w:szCs w:val="21"/>
          <w:lang w:val="en-US" w:eastAsia="zh-CN"/>
        </w:rPr>
        <w:t>鉴别</w:t>
      </w:r>
      <w:r>
        <w:rPr>
          <w:rFonts w:hint="default" w:ascii="Times New Roman" w:hAnsi="Times New Roman" w:eastAsia="宋体" w:cs="Times New Roman"/>
          <w:b/>
          <w:sz w:val="21"/>
          <w:szCs w:val="21"/>
        </w:rPr>
        <w:t xml:space="preserve">】 </w:t>
      </w:r>
      <w:r>
        <w:rPr>
          <w:rFonts w:hint="default" w:ascii="Times New Roman" w:hAnsi="Times New Roman" w:eastAsia="宋体" w:cs="Times New Roman"/>
          <w:b/>
          <w:sz w:val="21"/>
          <w:szCs w:val="21"/>
          <w:lang w:val="en-US" w:eastAsia="zh-CN"/>
        </w:rPr>
        <w:t xml:space="preserve"> </w:t>
      </w:r>
      <w:r>
        <w:rPr>
          <w:rFonts w:hint="default" w:ascii="Times New Roman" w:hAnsi="Times New Roman" w:eastAsia="宋体" w:cs="Times New Roman"/>
          <w:sz w:val="21"/>
          <w:szCs w:val="21"/>
        </w:rPr>
        <w:t>取本品</w:t>
      </w:r>
      <w:r>
        <w:rPr>
          <w:rFonts w:hint="default" w:ascii="Times New Roman" w:hAnsi="Times New Roman" w:eastAsia="宋体" w:cs="Times New Roman"/>
          <w:sz w:val="21"/>
          <w:szCs w:val="21"/>
          <w:lang w:eastAsia="zh-CN"/>
        </w:rPr>
        <w:t>适量，研细，取</w:t>
      </w:r>
      <w:r>
        <w:rPr>
          <w:rFonts w:hint="default" w:ascii="Times New Roman" w:hAnsi="Times New Roman" w:eastAsia="宋体" w:cs="Times New Roman"/>
          <w:sz w:val="21"/>
          <w:szCs w:val="21"/>
        </w:rPr>
        <w:t>1g，加水50ml使溶解，加盐酸调pH值至2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3，用乙醚提取3次，每次10ml，合并乙醚液，挥干，残渣加甲醇1ml使溶解，作为供试品溶液。另取花生</w:t>
      </w:r>
      <w:r>
        <w:rPr>
          <w:rFonts w:hint="default" w:ascii="Times New Roman" w:hAnsi="Times New Roman" w:eastAsia="宋体" w:cs="Times New Roman"/>
          <w:sz w:val="21"/>
          <w:szCs w:val="21"/>
          <w:lang w:eastAsia="zh-CN"/>
        </w:rPr>
        <w:t>红</w:t>
      </w:r>
      <w:r>
        <w:rPr>
          <w:rFonts w:hint="default" w:ascii="Times New Roman" w:hAnsi="Times New Roman" w:eastAsia="宋体" w:cs="Times New Roman"/>
          <w:sz w:val="21"/>
          <w:szCs w:val="21"/>
        </w:rPr>
        <w:t>衣对照药材3g，加水80ml，煮沸30分钟，滤过，滤液浓缩至50ml，同法制成对照药材溶液。照薄层色谱法（中国药典</w:t>
      </w:r>
      <w:r>
        <w:rPr>
          <w:rFonts w:hint="default" w:ascii="Times New Roman" w:hAnsi="Times New Roman" w:eastAsia="宋体" w:cs="Times New Roman"/>
          <w:sz w:val="21"/>
          <w:szCs w:val="21"/>
          <w:lang w:eastAsia="zh-CN"/>
        </w:rPr>
        <w:t>2020</w:t>
      </w:r>
      <w:r>
        <w:rPr>
          <w:rFonts w:hint="default" w:ascii="Times New Roman" w:hAnsi="Times New Roman" w:eastAsia="宋体" w:cs="Times New Roman"/>
          <w:sz w:val="21"/>
          <w:szCs w:val="21"/>
        </w:rPr>
        <w:t>年版通则0502）试验，吸取</w:t>
      </w:r>
      <w:r>
        <w:rPr>
          <w:rFonts w:hint="default" w:ascii="Times New Roman" w:hAnsi="Times New Roman" w:eastAsia="宋体" w:cs="Times New Roman"/>
          <w:sz w:val="21"/>
          <w:szCs w:val="21"/>
          <w:lang w:eastAsia="zh-CN"/>
        </w:rPr>
        <w:t>供试品</w:t>
      </w:r>
      <w:r>
        <w:rPr>
          <w:rFonts w:hint="default" w:ascii="Times New Roman" w:hAnsi="Times New Roman" w:eastAsia="宋体" w:cs="Times New Roman"/>
          <w:sz w:val="21"/>
          <w:szCs w:val="21"/>
        </w:rPr>
        <w:t>溶液</w:t>
      </w:r>
      <w:r>
        <w:rPr>
          <w:rFonts w:hint="default" w:ascii="Times New Roman" w:hAnsi="Times New Roman" w:eastAsia="宋体" w:cs="Times New Roman"/>
          <w:sz w:val="21"/>
          <w:szCs w:val="21"/>
          <w:lang w:val="en-US" w:eastAsia="zh-CN"/>
        </w:rPr>
        <w:t>10</w:t>
      </w:r>
      <w:r>
        <w:rPr>
          <w:rFonts w:hint="default" w:ascii="Times New Roman" w:hAnsi="Times New Roman" w:eastAsia="宋体" w:cs="Times New Roman"/>
          <w:sz w:val="21"/>
          <w:szCs w:val="21"/>
        </w:rPr>
        <w:t>μl，</w:t>
      </w:r>
      <w:r>
        <w:rPr>
          <w:rFonts w:hint="default" w:ascii="Times New Roman" w:hAnsi="Times New Roman" w:eastAsia="宋体" w:cs="Times New Roman"/>
          <w:sz w:val="21"/>
          <w:szCs w:val="21"/>
          <w:lang w:eastAsia="zh-CN"/>
        </w:rPr>
        <w:t>对照药材溶液</w:t>
      </w:r>
      <w:r>
        <w:rPr>
          <w:rFonts w:hint="default" w:ascii="Times New Roman" w:hAnsi="Times New Roman" w:eastAsia="宋体" w:cs="Times New Roman"/>
          <w:sz w:val="21"/>
          <w:szCs w:val="21"/>
          <w:lang w:val="en-US" w:eastAsia="zh-CN"/>
        </w:rPr>
        <w:t>20</w:t>
      </w:r>
      <w:r>
        <w:rPr>
          <w:rFonts w:hint="default" w:ascii="Times New Roman" w:hAnsi="Times New Roman" w:eastAsia="宋体" w:cs="Times New Roman"/>
          <w:sz w:val="21"/>
          <w:szCs w:val="21"/>
        </w:rPr>
        <w:t>μl</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分别点于同一硅胶G薄层板上，以甲苯-乙酸乙酯-甲酸（15∶10∶1）为展开剂，展开，取出，晾干，喷以新配制的1%间苯三酚乙醇溶液-硫酸（1∶1）的混合液。供试品色谱中，在与对照药材色谱相应的位置上，显相同颜色的斑点。</w:t>
      </w:r>
    </w:p>
    <w:p>
      <w:pPr>
        <w:pageBreakBefore w:val="0"/>
        <w:kinsoku/>
        <w:wordWrap/>
        <w:overflowPunct/>
        <w:topLinePunct w:val="0"/>
        <w:bidi w:val="0"/>
        <w:adjustRightInd w:val="0"/>
        <w:snapToGrid w:val="0"/>
        <w:spacing w:line="360" w:lineRule="auto"/>
        <w:ind w:firstLine="422" w:firstLineChars="200"/>
        <w:jc w:val="both"/>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w:t>
      </w:r>
      <w:r>
        <w:rPr>
          <w:rFonts w:hint="default" w:ascii="Times New Roman" w:hAnsi="Times New Roman" w:eastAsia="黑体" w:cs="Times New Roman"/>
          <w:bCs/>
          <w:szCs w:val="21"/>
          <w:lang w:val="en-US" w:eastAsia="zh-CN"/>
        </w:rPr>
        <w:t>特征图谱</w:t>
      </w:r>
      <w:r>
        <w:rPr>
          <w:rFonts w:hint="default" w:ascii="Times New Roman" w:hAnsi="Times New Roman" w:eastAsia="宋体" w:cs="Times New Roman"/>
          <w:b/>
          <w:sz w:val="21"/>
          <w:szCs w:val="21"/>
          <w:highlight w:val="none"/>
        </w:rPr>
        <w:t xml:space="preserve">】 </w:t>
      </w:r>
      <w:r>
        <w:rPr>
          <w:rFonts w:hint="default" w:ascii="Times New Roman" w:hAnsi="Times New Roman" w:eastAsia="宋体" w:cs="Times New Roman"/>
          <w:b/>
          <w:sz w:val="21"/>
          <w:szCs w:val="21"/>
          <w:highlight w:val="none"/>
          <w:lang w:val="en-US" w:eastAsia="zh-CN"/>
        </w:rPr>
        <w:t xml:space="preserve"> </w:t>
      </w:r>
      <w:r>
        <w:rPr>
          <w:rFonts w:hint="default" w:ascii="Times New Roman" w:hAnsi="Times New Roman" w:eastAsia="宋体" w:cs="Times New Roman"/>
          <w:bCs/>
          <w:sz w:val="21"/>
          <w:szCs w:val="21"/>
          <w:highlight w:val="none"/>
        </w:rPr>
        <w:t>照高效液相色谱法（</w:t>
      </w:r>
      <w:r>
        <w:rPr>
          <w:rFonts w:hint="default" w:ascii="Times New Roman" w:hAnsi="Times New Roman" w:eastAsia="宋体" w:cs="Times New Roman"/>
          <w:bCs/>
          <w:sz w:val="21"/>
          <w:szCs w:val="21"/>
          <w:highlight w:val="none"/>
          <w:lang w:eastAsia="zh-CN"/>
        </w:rPr>
        <w:t>中国药典2020</w:t>
      </w:r>
      <w:r>
        <w:rPr>
          <w:rFonts w:hint="default" w:ascii="Times New Roman" w:hAnsi="Times New Roman" w:eastAsia="宋体" w:cs="Times New Roman"/>
          <w:bCs/>
          <w:sz w:val="21"/>
          <w:szCs w:val="21"/>
          <w:highlight w:val="none"/>
        </w:rPr>
        <w:t>年版通则0512）测定。</w:t>
      </w:r>
    </w:p>
    <w:p>
      <w:pPr>
        <w:pageBreakBefore w:val="0"/>
        <w:kinsoku/>
        <w:wordWrap/>
        <w:overflowPunct/>
        <w:topLinePunct w:val="0"/>
        <w:bidi w:val="0"/>
        <w:adjustRightInd w:val="0"/>
        <w:snapToGrid w:val="0"/>
        <w:spacing w:line="360" w:lineRule="auto"/>
        <w:ind w:firstLine="420" w:firstLineChars="200"/>
        <w:jc w:val="both"/>
        <w:rPr>
          <w:rFonts w:hint="default" w:ascii="Times New Roman" w:hAnsi="Times New Roman" w:eastAsia="宋体" w:cs="Times New Roman"/>
          <w:b w:val="0"/>
          <w:bCs/>
          <w:sz w:val="21"/>
          <w:szCs w:val="21"/>
          <w:highlight w:val="none"/>
        </w:rPr>
      </w:pPr>
      <w:r>
        <w:rPr>
          <w:rFonts w:hint="default" w:ascii="Times New Roman" w:hAnsi="Times New Roman" w:eastAsia="黑体" w:cs="Times New Roman"/>
          <w:bCs/>
          <w:szCs w:val="21"/>
          <w:lang w:val="en-US" w:eastAsia="zh-CN"/>
        </w:rPr>
        <w:t>色谱条件与系统适用性试验</w:t>
      </w:r>
      <w:r>
        <w:rPr>
          <w:rFonts w:hint="default" w:ascii="Times New Roman" w:hAnsi="Times New Roman" w:eastAsia="宋体" w:cs="Times New Roman"/>
          <w:b/>
          <w:sz w:val="21"/>
          <w:szCs w:val="21"/>
          <w:highlight w:val="none"/>
          <w:lang w:val="en-US" w:eastAsia="zh-CN"/>
        </w:rPr>
        <w:t xml:space="preserve"> </w:t>
      </w:r>
      <w:r>
        <w:rPr>
          <w:rFonts w:hint="default" w:ascii="Times New Roman" w:hAnsi="Times New Roman" w:eastAsia="宋体" w:cs="Times New Roman"/>
          <w:b/>
          <w:sz w:val="21"/>
          <w:szCs w:val="21"/>
          <w:highlight w:val="none"/>
        </w:rPr>
        <w:t xml:space="preserve"> </w:t>
      </w:r>
      <w:r>
        <w:rPr>
          <w:rFonts w:hint="default" w:ascii="Times New Roman" w:hAnsi="Times New Roman" w:eastAsia="宋体" w:cs="Times New Roman"/>
          <w:b w:val="0"/>
          <w:bCs/>
          <w:sz w:val="21"/>
          <w:szCs w:val="21"/>
          <w:highlight w:val="none"/>
        </w:rPr>
        <w:t>以十八烷基硅烷键合硅胶为填充剂</w:t>
      </w:r>
      <w:r>
        <w:rPr>
          <w:rFonts w:hint="default" w:ascii="Times New Roman" w:hAnsi="Times New Roman" w:eastAsia="宋体" w:cs="Times New Roman"/>
          <w:b w:val="0"/>
          <w:bCs/>
          <w:sz w:val="21"/>
          <w:szCs w:val="21"/>
          <w:highlight w:val="none"/>
          <w:lang w:eastAsia="zh-CN"/>
        </w:rPr>
        <w:t>（</w:t>
      </w:r>
      <w:r>
        <w:rPr>
          <w:rFonts w:hint="default" w:ascii="Times New Roman" w:hAnsi="Times New Roman" w:eastAsia="宋体" w:cs="Times New Roman"/>
          <w:b w:val="0"/>
          <w:bCs/>
          <w:color w:val="auto"/>
          <w:sz w:val="21"/>
          <w:szCs w:val="21"/>
          <w:highlight w:val="none"/>
        </w:rPr>
        <w:t>柱长为</w:t>
      </w:r>
      <w:r>
        <w:rPr>
          <w:rFonts w:hint="default" w:ascii="Times New Roman" w:hAnsi="Times New Roman" w:eastAsia="宋体" w:cs="Times New Roman"/>
          <w:b w:val="0"/>
          <w:bCs/>
          <w:color w:val="auto"/>
          <w:sz w:val="21"/>
          <w:szCs w:val="21"/>
          <w:highlight w:val="none"/>
          <w:lang w:val="en-US" w:eastAsia="zh-CN"/>
        </w:rPr>
        <w:t>100</w:t>
      </w:r>
      <w:r>
        <w:rPr>
          <w:rFonts w:hint="default" w:ascii="Times New Roman" w:hAnsi="Times New Roman" w:eastAsia="宋体" w:cs="Times New Roman"/>
          <w:b w:val="0"/>
          <w:bCs/>
          <w:color w:val="auto"/>
          <w:sz w:val="21"/>
          <w:szCs w:val="21"/>
          <w:highlight w:val="none"/>
        </w:rPr>
        <w:t>mm，内径为</w:t>
      </w:r>
      <w:r>
        <w:rPr>
          <w:rFonts w:hint="default" w:ascii="Times New Roman" w:hAnsi="Times New Roman" w:eastAsia="宋体" w:cs="Times New Roman"/>
          <w:b w:val="0"/>
          <w:bCs/>
          <w:color w:val="auto"/>
          <w:sz w:val="21"/>
          <w:szCs w:val="21"/>
          <w:highlight w:val="none"/>
          <w:lang w:val="en-US" w:eastAsia="zh-CN"/>
        </w:rPr>
        <w:t>2.1</w:t>
      </w:r>
      <w:r>
        <w:rPr>
          <w:rFonts w:hint="default" w:ascii="Times New Roman" w:hAnsi="Times New Roman" w:eastAsia="宋体" w:cs="Times New Roman"/>
          <w:b w:val="0"/>
          <w:bCs/>
          <w:color w:val="auto"/>
          <w:sz w:val="21"/>
          <w:szCs w:val="21"/>
          <w:highlight w:val="none"/>
        </w:rPr>
        <w:t>mm，粒径为</w:t>
      </w:r>
      <w:r>
        <w:rPr>
          <w:rFonts w:hint="default" w:ascii="Times New Roman" w:hAnsi="Times New Roman" w:eastAsia="宋体" w:cs="Times New Roman"/>
          <w:b w:val="0"/>
          <w:bCs/>
          <w:color w:val="auto"/>
          <w:sz w:val="21"/>
          <w:szCs w:val="21"/>
          <w:highlight w:val="none"/>
          <w:lang w:val="en-US" w:eastAsia="zh-CN"/>
        </w:rPr>
        <w:t>1.8</w:t>
      </w:r>
      <w:r>
        <w:rPr>
          <w:rFonts w:hint="default" w:ascii="Times New Roman" w:hAnsi="Times New Roman" w:eastAsia="宋体" w:cs="Times New Roman"/>
          <w:b w:val="0"/>
          <w:bCs/>
          <w:color w:val="auto"/>
          <w:sz w:val="21"/>
          <w:szCs w:val="21"/>
          <w:highlight w:val="none"/>
        </w:rPr>
        <w:t>μm</w:t>
      </w:r>
      <w:r>
        <w:rPr>
          <w:rFonts w:hint="default" w:ascii="Times New Roman" w:hAnsi="Times New Roman" w:eastAsia="宋体" w:cs="Times New Roman"/>
          <w:b w:val="0"/>
          <w:bCs/>
          <w:sz w:val="21"/>
          <w:szCs w:val="21"/>
          <w:highlight w:val="none"/>
          <w:lang w:eastAsia="zh-CN"/>
        </w:rPr>
        <w:t>）</w:t>
      </w:r>
      <w:r>
        <w:rPr>
          <w:rFonts w:hint="default" w:ascii="Times New Roman" w:hAnsi="Times New Roman" w:eastAsia="宋体" w:cs="Times New Roman"/>
          <w:b w:val="0"/>
          <w:bCs/>
          <w:sz w:val="21"/>
          <w:szCs w:val="21"/>
          <w:highlight w:val="none"/>
        </w:rPr>
        <w:t>；以乙腈为流动相A，</w:t>
      </w:r>
      <w:r>
        <w:rPr>
          <w:rFonts w:hint="default" w:ascii="Times New Roman" w:hAnsi="Times New Roman" w:eastAsia="宋体" w:cs="Times New Roman"/>
          <w:b w:val="0"/>
          <w:bCs/>
          <w:sz w:val="21"/>
          <w:szCs w:val="21"/>
          <w:highlight w:val="none"/>
          <w:lang w:val="en-US" w:eastAsia="zh-CN"/>
        </w:rPr>
        <w:t>以</w:t>
      </w:r>
      <w:r>
        <w:rPr>
          <w:rFonts w:hint="default" w:ascii="Times New Roman" w:hAnsi="Times New Roman" w:eastAsia="宋体" w:cs="Times New Roman"/>
          <w:b w:val="0"/>
          <w:bCs/>
          <w:sz w:val="21"/>
          <w:szCs w:val="21"/>
          <w:highlight w:val="none"/>
        </w:rPr>
        <w:t>0.</w:t>
      </w:r>
      <w:r>
        <w:rPr>
          <w:rFonts w:hint="default" w:ascii="Times New Roman" w:hAnsi="Times New Roman" w:eastAsia="宋体" w:cs="Times New Roman"/>
          <w:b w:val="0"/>
          <w:bCs/>
          <w:sz w:val="21"/>
          <w:szCs w:val="21"/>
          <w:highlight w:val="none"/>
          <w:lang w:val="en-US" w:eastAsia="zh-CN"/>
        </w:rPr>
        <w:t>1</w:t>
      </w:r>
      <w:r>
        <w:rPr>
          <w:rFonts w:hint="default" w:ascii="Times New Roman" w:hAnsi="Times New Roman" w:eastAsia="宋体" w:cs="Times New Roman"/>
          <w:b w:val="0"/>
          <w:bCs/>
          <w:sz w:val="21"/>
          <w:szCs w:val="21"/>
          <w:highlight w:val="none"/>
        </w:rPr>
        <w:t>%磷酸溶液为流动相B，按下表中的规定进行梯度洗脱；流速为</w:t>
      </w:r>
      <w:r>
        <w:rPr>
          <w:rFonts w:hint="default" w:ascii="Times New Roman" w:hAnsi="Times New Roman" w:eastAsia="宋体" w:cs="Times New Roman"/>
          <w:b w:val="0"/>
          <w:bCs/>
          <w:sz w:val="21"/>
          <w:szCs w:val="21"/>
          <w:highlight w:val="none"/>
          <w:lang w:eastAsia="zh-CN"/>
        </w:rPr>
        <w:t>每分钟</w:t>
      </w:r>
      <w:r>
        <w:rPr>
          <w:rFonts w:hint="default" w:ascii="Times New Roman" w:hAnsi="Times New Roman" w:eastAsia="宋体" w:cs="Times New Roman"/>
          <w:b w:val="0"/>
          <w:bCs/>
          <w:sz w:val="21"/>
          <w:szCs w:val="21"/>
          <w:highlight w:val="none"/>
        </w:rPr>
        <w:t>0.</w:t>
      </w:r>
      <w:r>
        <w:rPr>
          <w:rFonts w:hint="default" w:ascii="Times New Roman" w:hAnsi="Times New Roman" w:eastAsia="宋体" w:cs="Times New Roman"/>
          <w:b w:val="0"/>
          <w:bCs/>
          <w:sz w:val="21"/>
          <w:szCs w:val="21"/>
          <w:highlight w:val="none"/>
          <w:lang w:val="en-US" w:eastAsia="zh-CN"/>
        </w:rPr>
        <w:t>3</w:t>
      </w:r>
      <w:r>
        <w:rPr>
          <w:rFonts w:hint="default" w:ascii="Times New Roman" w:hAnsi="Times New Roman" w:eastAsia="宋体" w:cs="Times New Roman"/>
          <w:b w:val="0"/>
          <w:bCs/>
          <w:sz w:val="21"/>
          <w:szCs w:val="21"/>
          <w:highlight w:val="none"/>
        </w:rPr>
        <w:t>ml；柱温为30℃；检测波长为</w:t>
      </w:r>
      <w:r>
        <w:rPr>
          <w:rFonts w:hint="default" w:ascii="Times New Roman" w:hAnsi="Times New Roman" w:eastAsia="宋体" w:cs="Times New Roman"/>
          <w:b w:val="0"/>
          <w:bCs/>
          <w:sz w:val="21"/>
          <w:szCs w:val="21"/>
          <w:highlight w:val="none"/>
          <w:lang w:val="en-US" w:eastAsia="zh-CN"/>
        </w:rPr>
        <w:t>210</w:t>
      </w:r>
      <w:r>
        <w:rPr>
          <w:rFonts w:hint="default" w:ascii="Times New Roman" w:hAnsi="Times New Roman" w:eastAsia="宋体" w:cs="Times New Roman"/>
          <w:b w:val="0"/>
          <w:bCs/>
          <w:sz w:val="21"/>
          <w:szCs w:val="21"/>
          <w:highlight w:val="none"/>
        </w:rPr>
        <w:t>nm。理论板数按儿茶素峰计算应不低于</w:t>
      </w:r>
      <w:r>
        <w:rPr>
          <w:rFonts w:hint="default" w:ascii="Times New Roman" w:hAnsi="Times New Roman" w:eastAsia="宋体" w:cs="Times New Roman"/>
          <w:b w:val="0"/>
          <w:bCs/>
          <w:sz w:val="21"/>
          <w:szCs w:val="21"/>
          <w:highlight w:val="none"/>
          <w:lang w:val="en-US" w:eastAsia="zh-CN"/>
        </w:rPr>
        <w:t>5</w:t>
      </w:r>
      <w:r>
        <w:rPr>
          <w:rFonts w:hint="default" w:ascii="Times New Roman" w:hAnsi="Times New Roman" w:eastAsia="宋体" w:cs="Times New Roman"/>
          <w:b w:val="0"/>
          <w:bCs/>
          <w:sz w:val="21"/>
          <w:szCs w:val="21"/>
          <w:highlight w:val="none"/>
        </w:rPr>
        <w:t>000。</w:t>
      </w:r>
    </w:p>
    <w:tbl>
      <w:tblPr>
        <w:tblStyle w:val="10"/>
        <w:tblW w:w="4998" w:type="pct"/>
        <w:jc w:val="center"/>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9"/>
        <w:gridCol w:w="2839"/>
        <w:gridCol w:w="2841"/>
      </w:tblGrid>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666" w:type="pct"/>
            <w:tcBorders>
              <w:bottom w:val="single" w:color="000000" w:sz="4" w:space="0"/>
            </w:tcBorders>
            <w:vAlign w:val="center"/>
          </w:tcPr>
          <w:p>
            <w:pPr>
              <w:snapToGrid w:val="0"/>
              <w:jc w:val="center"/>
              <w:rPr>
                <w:rFonts w:hint="default" w:ascii="Times New Roman" w:hAnsi="Times New Roman" w:cs="Times New Roman"/>
                <w:szCs w:val="21"/>
                <w:lang w:eastAsia="zh-CN"/>
              </w:rPr>
            </w:pPr>
            <w:r>
              <w:rPr>
                <w:rFonts w:hint="default" w:ascii="Times New Roman" w:hAnsi="Times New Roman" w:cs="Times New Roman"/>
                <w:szCs w:val="21"/>
              </w:rPr>
              <w:t>时间</w:t>
            </w:r>
            <w:r>
              <w:rPr>
                <w:rFonts w:hint="default" w:ascii="Times New Roman" w:hAnsi="Times New Roman" w:cs="Times New Roman"/>
                <w:szCs w:val="21"/>
                <w:lang w:eastAsia="zh-CN"/>
              </w:rPr>
              <w:t>（分钟）</w:t>
            </w:r>
          </w:p>
        </w:tc>
        <w:tc>
          <w:tcPr>
            <w:tcW w:w="1666" w:type="pct"/>
            <w:tcBorders>
              <w:bottom w:val="single" w:color="000000" w:sz="4" w:space="0"/>
            </w:tcBorders>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lang w:eastAsia="zh-CN"/>
              </w:rPr>
              <w:t>流动相</w:t>
            </w:r>
            <w:r>
              <w:rPr>
                <w:rFonts w:hint="default" w:ascii="Times New Roman" w:hAnsi="Times New Roman" w:cs="Times New Roman"/>
                <w:szCs w:val="21"/>
              </w:rPr>
              <w:t>A(%)</w:t>
            </w:r>
          </w:p>
        </w:tc>
        <w:tc>
          <w:tcPr>
            <w:tcW w:w="1667" w:type="pct"/>
            <w:tcBorders>
              <w:bottom w:val="single" w:color="000000" w:sz="4" w:space="0"/>
            </w:tcBorders>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lang w:eastAsia="zh-CN"/>
              </w:rPr>
              <w:t>流动相</w:t>
            </w:r>
            <w:r>
              <w:rPr>
                <w:rFonts w:hint="default" w:ascii="Times New Roman" w:hAnsi="Times New Roman" w:cs="Times New Roman"/>
                <w:szCs w:val="21"/>
              </w:rPr>
              <w:t>B(%)</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666" w:type="pct"/>
            <w:tcBorders>
              <w:top w:val="single" w:color="000000" w:sz="4" w:space="0"/>
              <w:tl2br w:val="nil"/>
              <w:tr2bl w:val="nil"/>
            </w:tcBorders>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0~10</w:t>
            </w:r>
          </w:p>
        </w:tc>
        <w:tc>
          <w:tcPr>
            <w:tcW w:w="1666" w:type="pct"/>
            <w:tcBorders>
              <w:top w:val="single" w:color="000000" w:sz="4" w:space="0"/>
              <w:tl2br w:val="nil"/>
              <w:tr2bl w:val="nil"/>
            </w:tcBorders>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3→7</w:t>
            </w:r>
          </w:p>
        </w:tc>
        <w:tc>
          <w:tcPr>
            <w:tcW w:w="1667" w:type="pct"/>
            <w:tcBorders>
              <w:top w:val="single" w:color="000000" w:sz="4" w:space="0"/>
              <w:tl2br w:val="nil"/>
              <w:tr2bl w:val="nil"/>
            </w:tcBorders>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97→93</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666" w:type="pct"/>
            <w:tcBorders>
              <w:tl2br w:val="nil"/>
              <w:tr2bl w:val="nil"/>
            </w:tcBorders>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10~11</w:t>
            </w:r>
          </w:p>
        </w:tc>
        <w:tc>
          <w:tcPr>
            <w:tcW w:w="1666" w:type="pct"/>
            <w:tcBorders>
              <w:tl2br w:val="nil"/>
              <w:tr2bl w:val="nil"/>
            </w:tcBorders>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7→12</w:t>
            </w:r>
          </w:p>
        </w:tc>
        <w:tc>
          <w:tcPr>
            <w:tcW w:w="1667" w:type="pct"/>
            <w:tcBorders>
              <w:tl2br w:val="nil"/>
              <w:tr2bl w:val="nil"/>
            </w:tcBorders>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93→88</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666" w:type="pct"/>
            <w:tcBorders>
              <w:tl2br w:val="nil"/>
              <w:tr2bl w:val="nil"/>
            </w:tcBorders>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11~16</w:t>
            </w:r>
          </w:p>
        </w:tc>
        <w:tc>
          <w:tcPr>
            <w:tcW w:w="1666" w:type="pct"/>
            <w:tcBorders>
              <w:tl2br w:val="nil"/>
              <w:tr2bl w:val="nil"/>
            </w:tcBorders>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12→13</w:t>
            </w:r>
          </w:p>
        </w:tc>
        <w:tc>
          <w:tcPr>
            <w:tcW w:w="1667" w:type="pct"/>
            <w:tcBorders>
              <w:tl2br w:val="nil"/>
              <w:tr2bl w:val="nil"/>
            </w:tcBorders>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88→87</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666" w:type="pct"/>
            <w:tcBorders>
              <w:tl2br w:val="nil"/>
              <w:tr2bl w:val="nil"/>
            </w:tcBorders>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16~40</w:t>
            </w:r>
          </w:p>
        </w:tc>
        <w:tc>
          <w:tcPr>
            <w:tcW w:w="1666" w:type="pct"/>
            <w:tcBorders>
              <w:tl2br w:val="nil"/>
              <w:tr2bl w:val="nil"/>
            </w:tcBorders>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13→18</w:t>
            </w:r>
          </w:p>
        </w:tc>
        <w:tc>
          <w:tcPr>
            <w:tcW w:w="1667" w:type="pct"/>
            <w:tcBorders>
              <w:tl2br w:val="nil"/>
              <w:tr2bl w:val="nil"/>
            </w:tcBorders>
            <w:vAlign w:val="center"/>
          </w:tcPr>
          <w:p>
            <w:pPr>
              <w:snapToGrid w:val="0"/>
              <w:jc w:val="center"/>
              <w:rPr>
                <w:rFonts w:hint="default" w:ascii="Times New Roman" w:hAnsi="Times New Roman" w:cs="Times New Roman"/>
                <w:szCs w:val="21"/>
              </w:rPr>
            </w:pPr>
            <w:r>
              <w:rPr>
                <w:rFonts w:hint="default" w:ascii="Times New Roman" w:hAnsi="Times New Roman" w:cs="Times New Roman"/>
                <w:szCs w:val="21"/>
              </w:rPr>
              <w:t>87→82</w:t>
            </w:r>
          </w:p>
        </w:tc>
      </w:tr>
    </w:tbl>
    <w:p>
      <w:pPr>
        <w:pageBreakBefore w:val="0"/>
        <w:kinsoku/>
        <w:wordWrap/>
        <w:overflowPunct/>
        <w:topLinePunct w:val="0"/>
        <w:bidi w:val="0"/>
        <w:adjustRightInd w:val="0"/>
        <w:snapToGrid w:val="0"/>
        <w:spacing w:line="360" w:lineRule="auto"/>
        <w:ind w:firstLine="420" w:firstLineChars="200"/>
        <w:jc w:val="both"/>
        <w:rPr>
          <w:rFonts w:hint="default" w:ascii="Times New Roman" w:hAnsi="Times New Roman" w:eastAsia="宋体" w:cs="Times New Roman"/>
          <w:sz w:val="21"/>
          <w:szCs w:val="21"/>
          <w:highlight w:val="none"/>
        </w:rPr>
      </w:pPr>
      <w:r>
        <w:rPr>
          <w:rFonts w:hint="default" w:ascii="Times New Roman" w:hAnsi="Times New Roman" w:eastAsia="黑体" w:cs="Times New Roman"/>
          <w:bCs/>
          <w:szCs w:val="21"/>
          <w:lang w:val="en-US" w:eastAsia="zh-CN"/>
        </w:rPr>
        <w:t>参照物溶液的制备</w:t>
      </w:r>
      <w:r>
        <w:rPr>
          <w:rFonts w:hint="default" w:ascii="Times New Roman" w:hAnsi="Times New Roman" w:eastAsia="宋体" w:cs="Times New Roman"/>
          <w:b/>
          <w:sz w:val="21"/>
          <w:szCs w:val="21"/>
          <w:highlight w:val="none"/>
        </w:rPr>
        <w:t xml:space="preserve"> </w:t>
      </w:r>
      <w:r>
        <w:rPr>
          <w:rFonts w:hint="default" w:ascii="Times New Roman" w:hAnsi="Times New Roman" w:eastAsia="宋体" w:cs="Times New Roman"/>
          <w:b/>
          <w:sz w:val="21"/>
          <w:szCs w:val="21"/>
          <w:highlight w:val="none"/>
          <w:lang w:val="en-US" w:eastAsia="zh-CN"/>
        </w:rPr>
        <w:t xml:space="preserve"> </w:t>
      </w:r>
      <w:r>
        <w:rPr>
          <w:rFonts w:hint="default" w:ascii="Times New Roman" w:hAnsi="Times New Roman" w:eastAsia="宋体" w:cs="Times New Roman"/>
          <w:sz w:val="21"/>
          <w:szCs w:val="21"/>
          <w:highlight w:val="none"/>
        </w:rPr>
        <w:t>取花生红衣对照药材2g，置具塞锥形瓶中，加甲醇50ml，加热回流30分钟，离心，取上清液蒸干，残渣加水5ml使溶解，加于聚酰胺柱（60~80目，内径1.5cm，柱长10cm，湿法装柱）上，以水100ml洗脱，弃去水液，再用乙醇100ml洗脱，收集洗脱液，蒸干，残渣加甲醇5ml使溶解，摇匀，滤过，取续滤液，作为对照药材参照物溶液。</w:t>
      </w:r>
      <w:r>
        <w:rPr>
          <w:rFonts w:hint="default" w:ascii="Times New Roman" w:hAnsi="Times New Roman" w:eastAsia="宋体" w:cs="Times New Roman"/>
          <w:sz w:val="21"/>
          <w:szCs w:val="21"/>
          <w:highlight w:val="none"/>
          <w:lang w:eastAsia="zh-CN"/>
        </w:rPr>
        <w:t>另取儿茶素对照品适量，加甲醇制成每1ml含</w:t>
      </w:r>
      <w:r>
        <w:rPr>
          <w:rFonts w:hint="default" w:ascii="Times New Roman" w:hAnsi="Times New Roman" w:eastAsia="宋体" w:cs="Times New Roman"/>
          <w:sz w:val="21"/>
          <w:szCs w:val="21"/>
          <w:highlight w:val="none"/>
          <w:lang w:val="en-US" w:eastAsia="zh-CN"/>
        </w:rPr>
        <w:t>40</w:t>
      </w:r>
      <w:r>
        <w:rPr>
          <w:rFonts w:hint="default" w:ascii="Times New Roman" w:hAnsi="Times New Roman" w:eastAsia="宋体" w:cs="Times New Roman"/>
          <w:sz w:val="21"/>
          <w:szCs w:val="21"/>
          <w:highlight w:val="none"/>
          <w:lang w:eastAsia="zh-CN"/>
        </w:rPr>
        <w:t>μg的溶液，作为对照品参照物溶液。</w:t>
      </w:r>
    </w:p>
    <w:p>
      <w:pPr>
        <w:pageBreakBefore w:val="0"/>
        <w:kinsoku/>
        <w:wordWrap/>
        <w:overflowPunct/>
        <w:topLinePunct w:val="0"/>
        <w:bidi w:val="0"/>
        <w:adjustRightInd w:val="0"/>
        <w:snapToGrid w:val="0"/>
        <w:spacing w:line="360" w:lineRule="auto"/>
        <w:ind w:firstLine="420" w:firstLineChars="200"/>
        <w:jc w:val="both"/>
        <w:rPr>
          <w:rFonts w:hint="default" w:ascii="Times New Roman" w:hAnsi="Times New Roman" w:eastAsia="宋体" w:cs="Times New Roman"/>
          <w:sz w:val="21"/>
          <w:szCs w:val="21"/>
          <w:highlight w:val="none"/>
        </w:rPr>
      </w:pPr>
      <w:r>
        <w:rPr>
          <w:rFonts w:hint="default" w:ascii="Times New Roman" w:hAnsi="Times New Roman" w:eastAsia="黑体" w:cs="Times New Roman"/>
          <w:bCs/>
          <w:szCs w:val="21"/>
          <w:lang w:val="en-US" w:eastAsia="zh-CN"/>
        </w:rPr>
        <w:t>供试品溶液的制备</w:t>
      </w:r>
      <w:r>
        <w:rPr>
          <w:rFonts w:hint="default" w:ascii="Times New Roman" w:hAnsi="Times New Roman" w:eastAsia="宋体" w:cs="Times New Roman"/>
          <w:b/>
          <w:sz w:val="21"/>
          <w:szCs w:val="21"/>
          <w:highlight w:val="none"/>
          <w:lang w:val="en-US" w:eastAsia="zh-CN"/>
        </w:rPr>
        <w:t xml:space="preserve"> </w:t>
      </w:r>
      <w:r>
        <w:rPr>
          <w:rFonts w:hint="default" w:ascii="Times New Roman" w:hAnsi="Times New Roman" w:eastAsia="宋体" w:cs="Times New Roman"/>
          <w:b/>
          <w:sz w:val="21"/>
          <w:szCs w:val="21"/>
          <w:highlight w:val="none"/>
        </w:rPr>
        <w:t xml:space="preserve"> </w:t>
      </w:r>
      <w:r>
        <w:rPr>
          <w:rFonts w:hint="default" w:ascii="Times New Roman" w:hAnsi="Times New Roman" w:eastAsia="宋体" w:cs="Times New Roman"/>
          <w:b w:val="0"/>
          <w:bCs/>
          <w:sz w:val="21"/>
          <w:szCs w:val="21"/>
          <w:highlight w:val="none"/>
        </w:rPr>
        <w:t>取本品适量，研细，取0.</w:t>
      </w:r>
      <w:r>
        <w:rPr>
          <w:rFonts w:hint="default" w:ascii="Times New Roman" w:hAnsi="Times New Roman" w:eastAsia="宋体" w:cs="Times New Roman"/>
          <w:b w:val="0"/>
          <w:bCs/>
          <w:sz w:val="21"/>
          <w:szCs w:val="21"/>
          <w:highlight w:val="none"/>
          <w:lang w:val="en-US" w:eastAsia="zh-CN"/>
        </w:rPr>
        <w:t>5</w:t>
      </w:r>
      <w:r>
        <w:rPr>
          <w:rFonts w:hint="default" w:ascii="Times New Roman" w:hAnsi="Times New Roman" w:eastAsia="宋体" w:cs="Times New Roman"/>
          <w:b w:val="0"/>
          <w:bCs/>
          <w:sz w:val="21"/>
          <w:szCs w:val="21"/>
          <w:highlight w:val="none"/>
        </w:rPr>
        <w:t>g，置具塞锥形瓶中，加入</w:t>
      </w:r>
      <w:r>
        <w:rPr>
          <w:rFonts w:hint="default" w:ascii="Times New Roman" w:hAnsi="Times New Roman" w:eastAsia="宋体" w:cs="Times New Roman"/>
          <w:b w:val="0"/>
          <w:bCs/>
          <w:sz w:val="21"/>
          <w:szCs w:val="21"/>
          <w:highlight w:val="none"/>
          <w:lang w:val="zh-CN"/>
        </w:rPr>
        <w:t>50%</w:t>
      </w:r>
      <w:r>
        <w:rPr>
          <w:rFonts w:hint="default" w:ascii="Times New Roman" w:hAnsi="Times New Roman" w:eastAsia="宋体" w:cs="Times New Roman"/>
          <w:b w:val="0"/>
          <w:bCs/>
          <w:sz w:val="21"/>
          <w:szCs w:val="21"/>
          <w:highlight w:val="none"/>
        </w:rPr>
        <w:t>甲醇50ml</w:t>
      </w:r>
      <w:r>
        <w:rPr>
          <w:rFonts w:hint="default" w:ascii="Times New Roman" w:hAnsi="Times New Roman" w:eastAsia="宋体" w:cs="Times New Roman"/>
          <w:b w:val="0"/>
          <w:bCs/>
          <w:sz w:val="21"/>
          <w:szCs w:val="21"/>
          <w:highlight w:val="none"/>
          <w:lang w:val="zh-CN"/>
        </w:rPr>
        <w:t>，超声处理（</w:t>
      </w:r>
      <w:r>
        <w:rPr>
          <w:rFonts w:hint="default" w:ascii="Times New Roman" w:hAnsi="Times New Roman" w:eastAsia="宋体" w:cs="Times New Roman"/>
          <w:b w:val="0"/>
          <w:bCs/>
          <w:sz w:val="21"/>
          <w:szCs w:val="21"/>
          <w:highlight w:val="none"/>
        </w:rPr>
        <w:t>功率300W，频率40kHz</w:t>
      </w:r>
      <w:r>
        <w:rPr>
          <w:rFonts w:hint="default" w:ascii="Times New Roman" w:hAnsi="Times New Roman" w:eastAsia="宋体" w:cs="Times New Roman"/>
          <w:b w:val="0"/>
          <w:bCs/>
          <w:sz w:val="21"/>
          <w:szCs w:val="21"/>
          <w:highlight w:val="none"/>
          <w:lang w:val="zh-CN"/>
        </w:rPr>
        <w:t>）</w:t>
      </w:r>
      <w:r>
        <w:rPr>
          <w:rFonts w:hint="default" w:ascii="Times New Roman" w:hAnsi="Times New Roman" w:eastAsia="宋体" w:cs="Times New Roman"/>
          <w:b w:val="0"/>
          <w:bCs/>
          <w:sz w:val="21"/>
          <w:szCs w:val="21"/>
          <w:highlight w:val="none"/>
        </w:rPr>
        <w:t>3</w:t>
      </w:r>
      <w:r>
        <w:rPr>
          <w:rFonts w:hint="default" w:ascii="Times New Roman" w:hAnsi="Times New Roman" w:eastAsia="宋体" w:cs="Times New Roman"/>
          <w:b w:val="0"/>
          <w:bCs/>
          <w:sz w:val="21"/>
          <w:szCs w:val="21"/>
          <w:highlight w:val="none"/>
          <w:lang w:val="zh-CN"/>
        </w:rPr>
        <w:t>0分钟，</w:t>
      </w:r>
      <w:r>
        <w:rPr>
          <w:rFonts w:hint="default" w:ascii="Times New Roman" w:hAnsi="Times New Roman" w:eastAsia="宋体" w:cs="Times New Roman"/>
          <w:b w:val="0"/>
          <w:bCs/>
          <w:sz w:val="21"/>
          <w:szCs w:val="21"/>
          <w:highlight w:val="none"/>
        </w:rPr>
        <w:t>离心，取上清液蒸干，残渣加水5ml使溶解，加于聚酰胺柱（60~80目，内径1.5cm，柱长10cm，湿法装柱）上，以水100ml洗脱，弃去水液，再用乙醇100ml洗脱，收集洗脱液，蒸干，残渣加甲醇10ml使溶解，滤过，取续滤液，即得</w:t>
      </w:r>
      <w:r>
        <w:rPr>
          <w:rFonts w:hint="default" w:ascii="Times New Roman" w:hAnsi="Times New Roman" w:eastAsia="宋体" w:cs="Times New Roman"/>
          <w:sz w:val="21"/>
          <w:szCs w:val="21"/>
          <w:highlight w:val="none"/>
        </w:rPr>
        <w:t>。</w:t>
      </w:r>
    </w:p>
    <w:p>
      <w:pPr>
        <w:pageBreakBefore w:val="0"/>
        <w:kinsoku/>
        <w:wordWrap/>
        <w:overflowPunct/>
        <w:topLinePunct w:val="0"/>
        <w:bidi w:val="0"/>
        <w:adjustRightInd w:val="0"/>
        <w:snapToGrid w:val="0"/>
        <w:spacing w:line="360" w:lineRule="auto"/>
        <w:ind w:firstLine="420" w:firstLineChars="200"/>
        <w:jc w:val="both"/>
        <w:rPr>
          <w:rFonts w:hint="default" w:ascii="Times New Roman" w:hAnsi="Times New Roman" w:eastAsia="宋体" w:cs="Times New Roman"/>
          <w:b w:val="0"/>
          <w:bCs/>
          <w:sz w:val="21"/>
          <w:szCs w:val="21"/>
          <w:highlight w:val="none"/>
        </w:rPr>
      </w:pPr>
      <w:r>
        <w:rPr>
          <w:rFonts w:hint="default" w:ascii="Times New Roman" w:hAnsi="Times New Roman" w:eastAsia="黑体" w:cs="Times New Roman"/>
          <w:bCs/>
          <w:szCs w:val="21"/>
          <w:lang w:val="en-US" w:eastAsia="zh-CN"/>
        </w:rPr>
        <w:t>测定法</w:t>
      </w:r>
      <w:r>
        <w:rPr>
          <w:rFonts w:hint="default" w:ascii="Times New Roman" w:hAnsi="Times New Roman" w:eastAsia="宋体" w:cs="Times New Roman"/>
          <w:b/>
          <w:sz w:val="21"/>
          <w:szCs w:val="21"/>
          <w:highlight w:val="none"/>
          <w:lang w:val="en-US" w:eastAsia="zh-CN"/>
        </w:rPr>
        <w:t xml:space="preserve"> </w:t>
      </w:r>
      <w:r>
        <w:rPr>
          <w:rFonts w:hint="default" w:ascii="Times New Roman" w:hAnsi="Times New Roman" w:eastAsia="宋体" w:cs="Times New Roman"/>
          <w:b/>
          <w:sz w:val="21"/>
          <w:szCs w:val="21"/>
          <w:highlight w:val="none"/>
        </w:rPr>
        <w:t xml:space="preserve"> </w:t>
      </w:r>
      <w:r>
        <w:rPr>
          <w:rFonts w:hint="default" w:ascii="Times New Roman" w:hAnsi="Times New Roman" w:eastAsia="宋体" w:cs="Times New Roman"/>
          <w:b w:val="0"/>
          <w:bCs/>
          <w:sz w:val="21"/>
          <w:szCs w:val="21"/>
          <w:highlight w:val="none"/>
        </w:rPr>
        <w:t>分别精密吸取参照物溶液和供试品溶液各</w:t>
      </w:r>
      <w:r>
        <w:rPr>
          <w:rFonts w:hint="default" w:ascii="Times New Roman" w:hAnsi="Times New Roman" w:eastAsia="宋体" w:cs="Times New Roman"/>
          <w:b w:val="0"/>
          <w:bCs/>
          <w:sz w:val="21"/>
          <w:szCs w:val="21"/>
          <w:highlight w:val="none"/>
          <w:lang w:val="en-US" w:eastAsia="zh-CN"/>
        </w:rPr>
        <w:t>1</w:t>
      </w:r>
      <w:r>
        <w:rPr>
          <w:rFonts w:hint="default" w:ascii="Times New Roman" w:hAnsi="Times New Roman" w:eastAsia="宋体" w:cs="Times New Roman"/>
          <w:b w:val="0"/>
          <w:bCs/>
          <w:sz w:val="21"/>
          <w:szCs w:val="21"/>
          <w:highlight w:val="none"/>
        </w:rPr>
        <w:t>μl，注入液相色谱仪，测定，即得。</w:t>
      </w:r>
    </w:p>
    <w:p>
      <w:pPr>
        <w:pageBreakBefore w:val="0"/>
        <w:kinsoku/>
        <w:wordWrap/>
        <w:overflowPunct/>
        <w:topLinePunct w:val="0"/>
        <w:bidi w:val="0"/>
        <w:adjustRightInd w:val="0"/>
        <w:snapToGrid w:val="0"/>
        <w:spacing w:line="360" w:lineRule="auto"/>
        <w:ind w:firstLine="420" w:firstLineChars="200"/>
        <w:jc w:val="both"/>
        <w:rPr>
          <w:rFonts w:hint="default" w:ascii="Times New Roman" w:hAnsi="Times New Roman" w:eastAsia="宋体" w:cs="Times New Roman"/>
          <w:sz w:val="21"/>
          <w:szCs w:val="21"/>
          <w:highlight w:val="yellow"/>
        </w:rPr>
      </w:pPr>
      <w:r>
        <w:rPr>
          <w:rFonts w:hint="default" w:ascii="Times New Roman" w:hAnsi="Times New Roman" w:eastAsia="宋体" w:cs="Times New Roman"/>
          <w:b w:val="0"/>
          <w:bCs/>
          <w:sz w:val="21"/>
          <w:szCs w:val="21"/>
          <w:highlight w:val="none"/>
        </w:rPr>
        <w:t>供试品色谱中应呈现</w:t>
      </w:r>
      <w:r>
        <w:rPr>
          <w:rFonts w:hint="default" w:ascii="Times New Roman" w:hAnsi="Times New Roman" w:eastAsia="宋体" w:cs="Times New Roman"/>
          <w:b w:val="0"/>
          <w:bCs/>
          <w:sz w:val="21"/>
          <w:szCs w:val="21"/>
          <w:highlight w:val="none"/>
          <w:lang w:val="en-US" w:eastAsia="zh-CN"/>
        </w:rPr>
        <w:t>4</w:t>
      </w:r>
      <w:r>
        <w:rPr>
          <w:rFonts w:hint="default" w:ascii="Times New Roman" w:hAnsi="Times New Roman" w:eastAsia="宋体" w:cs="Times New Roman"/>
          <w:b w:val="0"/>
          <w:bCs/>
          <w:sz w:val="21"/>
          <w:szCs w:val="21"/>
          <w:highlight w:val="none"/>
        </w:rPr>
        <w:t>个特征峰，并应与对照药材参照物色谱中的</w:t>
      </w:r>
      <w:r>
        <w:rPr>
          <w:rFonts w:hint="default" w:ascii="Times New Roman" w:hAnsi="Times New Roman" w:eastAsia="宋体" w:cs="Times New Roman"/>
          <w:b w:val="0"/>
          <w:bCs/>
          <w:sz w:val="21"/>
          <w:szCs w:val="21"/>
          <w:highlight w:val="none"/>
          <w:lang w:val="en-US" w:eastAsia="zh-CN"/>
        </w:rPr>
        <w:t>4</w:t>
      </w:r>
      <w:r>
        <w:rPr>
          <w:rFonts w:hint="default" w:ascii="Times New Roman" w:hAnsi="Times New Roman" w:eastAsia="宋体" w:cs="Times New Roman"/>
          <w:b w:val="0"/>
          <w:bCs/>
          <w:sz w:val="21"/>
          <w:szCs w:val="21"/>
          <w:highlight w:val="none"/>
        </w:rPr>
        <w:t>个特征峰保留时间相对应</w:t>
      </w:r>
      <w:r>
        <w:rPr>
          <w:rFonts w:hint="eastAsia" w:ascii="Times New Roman" w:hAnsi="Times New Roman" w:cs="Times New Roman"/>
          <w:b w:val="0"/>
          <w:bCs/>
          <w:sz w:val="21"/>
          <w:szCs w:val="21"/>
          <w:highlight w:val="none"/>
          <w:lang w:eastAsia="zh-CN"/>
        </w:rPr>
        <w:t>，</w:t>
      </w:r>
      <w:r>
        <w:rPr>
          <w:rFonts w:hint="default" w:ascii="Times New Roman" w:hAnsi="Times New Roman" w:eastAsia="宋体" w:cs="Times New Roman"/>
          <w:b w:val="0"/>
          <w:bCs/>
          <w:sz w:val="21"/>
          <w:szCs w:val="21"/>
          <w:highlight w:val="none"/>
        </w:rPr>
        <w:t>其中</w:t>
      </w:r>
      <w:r>
        <w:rPr>
          <w:rFonts w:hint="default" w:ascii="Times New Roman" w:hAnsi="Times New Roman" w:eastAsia="宋体" w:cs="Times New Roman"/>
          <w:b w:val="0"/>
          <w:bCs/>
          <w:sz w:val="21"/>
          <w:szCs w:val="21"/>
          <w:highlight w:val="none"/>
          <w:lang w:val="en-US" w:eastAsia="zh-CN"/>
        </w:rPr>
        <w:t>峰2应</w:t>
      </w:r>
      <w:r>
        <w:rPr>
          <w:rFonts w:hint="default" w:ascii="Times New Roman" w:hAnsi="Times New Roman" w:eastAsia="宋体" w:cs="Times New Roman"/>
          <w:b w:val="0"/>
          <w:bCs/>
          <w:sz w:val="21"/>
          <w:szCs w:val="21"/>
          <w:highlight w:val="none"/>
        </w:rPr>
        <w:t>与对照品参照物峰保留时间相对应</w:t>
      </w:r>
      <w:r>
        <w:rPr>
          <w:rFonts w:hint="eastAsia" w:ascii="Times New Roman" w:hAnsi="Times New Roman" w:cs="Times New Roman"/>
          <w:b w:val="0"/>
          <w:bCs/>
          <w:sz w:val="21"/>
          <w:szCs w:val="21"/>
          <w:highlight w:val="none"/>
          <w:lang w:eastAsia="zh-CN"/>
        </w:rPr>
        <w:t>。</w:t>
      </w:r>
      <w:r>
        <w:rPr>
          <w:rFonts w:hint="default" w:ascii="Times New Roman" w:hAnsi="Times New Roman" w:eastAsia="宋体" w:cs="Times New Roman"/>
          <w:b w:val="0"/>
          <w:bCs/>
          <w:sz w:val="21"/>
          <w:szCs w:val="21"/>
          <w:highlight w:val="none"/>
        </w:rPr>
        <w:t>与</w:t>
      </w:r>
      <w:r>
        <w:rPr>
          <w:rFonts w:hint="default" w:ascii="Times New Roman" w:hAnsi="Times New Roman" w:eastAsia="宋体" w:cs="Times New Roman"/>
          <w:b w:val="0"/>
          <w:bCs/>
          <w:sz w:val="21"/>
          <w:szCs w:val="21"/>
          <w:highlight w:val="none"/>
          <w:lang w:eastAsia="zh-CN"/>
        </w:rPr>
        <w:t>儿茶素</w:t>
      </w:r>
      <w:r>
        <w:rPr>
          <w:rFonts w:hint="default" w:ascii="Times New Roman" w:hAnsi="Times New Roman" w:eastAsia="宋体" w:cs="Times New Roman"/>
          <w:b w:val="0"/>
          <w:bCs/>
          <w:sz w:val="21"/>
          <w:szCs w:val="21"/>
          <w:highlight w:val="none"/>
        </w:rPr>
        <w:t>参照物峰相对应的峰为S峰，计算</w:t>
      </w:r>
      <w:r>
        <w:rPr>
          <w:rFonts w:hint="eastAsia" w:ascii="Times New Roman" w:hAnsi="Times New Roman" w:cs="Times New Roman"/>
          <w:b w:val="0"/>
          <w:bCs/>
          <w:sz w:val="21"/>
          <w:szCs w:val="21"/>
          <w:highlight w:val="none"/>
          <w:lang w:val="en-US" w:eastAsia="zh-CN"/>
        </w:rPr>
        <w:t>其余特征峰</w:t>
      </w:r>
      <w:r>
        <w:rPr>
          <w:rFonts w:hint="default" w:ascii="Times New Roman" w:hAnsi="Times New Roman" w:eastAsia="宋体" w:cs="Times New Roman"/>
          <w:b w:val="0"/>
          <w:bCs/>
          <w:sz w:val="21"/>
          <w:szCs w:val="21"/>
          <w:highlight w:val="none"/>
        </w:rPr>
        <w:t>与S峰的相对保留时间，其相对保留时间应该在规定值的±10%</w:t>
      </w:r>
      <w:r>
        <w:rPr>
          <w:rFonts w:hint="default" w:ascii="Times New Roman" w:hAnsi="Times New Roman" w:eastAsia="宋体" w:cs="Times New Roman"/>
          <w:b w:val="0"/>
          <w:bCs/>
          <w:sz w:val="21"/>
          <w:szCs w:val="21"/>
          <w:highlight w:val="none"/>
          <w:lang w:eastAsia="zh-CN"/>
        </w:rPr>
        <w:t>范围</w:t>
      </w:r>
      <w:r>
        <w:rPr>
          <w:rFonts w:hint="default" w:ascii="Times New Roman" w:hAnsi="Times New Roman" w:eastAsia="宋体" w:cs="Times New Roman"/>
          <w:b w:val="0"/>
          <w:bCs/>
          <w:sz w:val="21"/>
          <w:szCs w:val="21"/>
          <w:highlight w:val="none"/>
        </w:rPr>
        <w:t>之内，规定值为：</w:t>
      </w:r>
      <w:r>
        <w:rPr>
          <w:rFonts w:hint="default" w:ascii="Times New Roman" w:hAnsi="Times New Roman" w:eastAsia="宋体" w:cs="Times New Roman"/>
          <w:b w:val="0"/>
          <w:bCs/>
          <w:sz w:val="21"/>
          <w:szCs w:val="21"/>
          <w:highlight w:val="none"/>
          <w:lang w:val="en-US" w:eastAsia="zh-CN"/>
        </w:rPr>
        <w:t>0.47</w:t>
      </w:r>
      <w:r>
        <w:rPr>
          <w:rFonts w:hint="default" w:ascii="Times New Roman" w:hAnsi="Times New Roman" w:eastAsia="宋体" w:cs="Times New Roman"/>
          <w:b w:val="0"/>
          <w:bCs/>
          <w:sz w:val="21"/>
          <w:szCs w:val="21"/>
          <w:highlight w:val="none"/>
        </w:rPr>
        <w:t>（峰1）、</w:t>
      </w:r>
      <w:r>
        <w:rPr>
          <w:rFonts w:hint="default" w:ascii="Times New Roman" w:hAnsi="Times New Roman" w:eastAsia="宋体" w:cs="Times New Roman"/>
          <w:b w:val="0"/>
          <w:bCs/>
          <w:sz w:val="21"/>
          <w:szCs w:val="21"/>
          <w:highlight w:val="none"/>
          <w:lang w:val="en-US" w:eastAsia="zh-CN"/>
        </w:rPr>
        <w:t>1.21</w:t>
      </w:r>
      <w:r>
        <w:rPr>
          <w:rFonts w:hint="default" w:ascii="Times New Roman" w:hAnsi="Times New Roman" w:eastAsia="宋体" w:cs="Times New Roman"/>
          <w:b w:val="0"/>
          <w:bCs/>
          <w:sz w:val="21"/>
          <w:szCs w:val="21"/>
          <w:highlight w:val="none"/>
        </w:rPr>
        <w:t>（峰</w:t>
      </w:r>
      <w:r>
        <w:rPr>
          <w:rFonts w:hint="default" w:ascii="Times New Roman" w:hAnsi="Times New Roman" w:eastAsia="宋体" w:cs="Times New Roman"/>
          <w:b w:val="0"/>
          <w:bCs/>
          <w:sz w:val="21"/>
          <w:szCs w:val="21"/>
          <w:highlight w:val="none"/>
          <w:lang w:val="en-US" w:eastAsia="zh-CN"/>
        </w:rPr>
        <w:t>3</w:t>
      </w:r>
      <w:r>
        <w:rPr>
          <w:rFonts w:hint="default" w:ascii="Times New Roman" w:hAnsi="Times New Roman" w:eastAsia="宋体" w:cs="Times New Roman"/>
          <w:b w:val="0"/>
          <w:bCs/>
          <w:sz w:val="21"/>
          <w:szCs w:val="21"/>
          <w:highlight w:val="none"/>
        </w:rPr>
        <w:t>）、</w:t>
      </w:r>
      <w:r>
        <w:rPr>
          <w:rFonts w:hint="default" w:ascii="Times New Roman" w:hAnsi="Times New Roman" w:eastAsia="宋体" w:cs="Times New Roman"/>
          <w:b w:val="0"/>
          <w:bCs/>
          <w:sz w:val="21"/>
          <w:szCs w:val="21"/>
          <w:highlight w:val="none"/>
          <w:lang w:val="en-US" w:eastAsia="zh-CN"/>
        </w:rPr>
        <w:t>1.66</w:t>
      </w:r>
      <w:r>
        <w:rPr>
          <w:rFonts w:hint="default" w:ascii="Times New Roman" w:hAnsi="Times New Roman" w:eastAsia="宋体" w:cs="Times New Roman"/>
          <w:b w:val="0"/>
          <w:bCs/>
          <w:sz w:val="21"/>
          <w:szCs w:val="21"/>
          <w:highlight w:val="none"/>
        </w:rPr>
        <w:t>（峰</w:t>
      </w:r>
      <w:r>
        <w:rPr>
          <w:rFonts w:hint="default" w:ascii="Times New Roman" w:hAnsi="Times New Roman" w:eastAsia="宋体" w:cs="Times New Roman"/>
          <w:b w:val="0"/>
          <w:bCs/>
          <w:sz w:val="21"/>
          <w:szCs w:val="21"/>
          <w:highlight w:val="none"/>
          <w:lang w:val="en-US" w:eastAsia="zh-CN"/>
        </w:rPr>
        <w:t>4</w:t>
      </w:r>
      <w:r>
        <w:rPr>
          <w:rFonts w:hint="default" w:ascii="Times New Roman" w:hAnsi="Times New Roman" w:eastAsia="宋体" w:cs="Times New Roman"/>
          <w:b w:val="0"/>
          <w:bCs/>
          <w:sz w:val="21"/>
          <w:szCs w:val="21"/>
          <w:highlight w:val="none"/>
        </w:rPr>
        <w:t>）。</w:t>
      </w:r>
    </w:p>
    <w:p>
      <w:pPr>
        <w:keepNext w:val="0"/>
        <w:keepLines w:val="0"/>
        <w:pageBreakBefore w:val="0"/>
        <w:kinsoku/>
        <w:wordWrap/>
        <w:overflowPunct/>
        <w:topLinePunct w:val="0"/>
        <w:autoSpaceDE/>
        <w:autoSpaceDN/>
        <w:bidi w:val="0"/>
        <w:adjustRightInd w:val="0"/>
        <w:snapToGrid w:val="0"/>
        <w:spacing w:line="276" w:lineRule="auto"/>
        <w:ind w:firstLine="0" w:firstLineChars="0"/>
        <w:jc w:val="center"/>
        <w:textAlignment w:val="auto"/>
        <w:rPr>
          <w:rFonts w:hint="default" w:ascii="Times New Roman" w:hAnsi="Times New Roman" w:eastAsia="宋体" w:cs="Times New Roman"/>
          <w:color w:val="auto"/>
          <w:sz w:val="18"/>
          <w:szCs w:val="21"/>
          <w:highlight w:val="none"/>
          <w:lang w:eastAsia="zh-CN"/>
        </w:rPr>
      </w:pPr>
      <w:r>
        <w:rPr>
          <w:rFonts w:hint="default" w:ascii="Times New Roman" w:hAnsi="Times New Roman" w:eastAsia="宋体" w:cs="Times New Roman"/>
          <w:color w:val="auto"/>
          <w:sz w:val="18"/>
          <w:szCs w:val="21"/>
          <w:highlight w:val="none"/>
          <w:lang w:eastAsia="zh-CN"/>
        </w:rPr>
        <w:drawing>
          <wp:inline distT="0" distB="0" distL="114300" distR="114300">
            <wp:extent cx="5095875" cy="2714625"/>
            <wp:effectExtent l="0" t="0" r="9525" b="9525"/>
            <wp:docPr id="10" name="图片 10"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
                    <pic:cNvPicPr>
                      <a:picLocks noChangeAspect="1"/>
                    </pic:cNvPicPr>
                  </pic:nvPicPr>
                  <pic:blipFill>
                    <a:blip r:embed="rId6"/>
                    <a:stretch>
                      <a:fillRect/>
                    </a:stretch>
                  </pic:blipFill>
                  <pic:spPr>
                    <a:xfrm>
                      <a:off x="0" y="0"/>
                      <a:ext cx="5095875" cy="2714625"/>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line="276" w:lineRule="auto"/>
        <w:ind w:firstLine="0" w:firstLineChars="0"/>
        <w:jc w:val="center"/>
        <w:textAlignment w:val="auto"/>
        <w:rPr>
          <w:rFonts w:hint="default" w:ascii="Times New Roman" w:hAnsi="Times New Roman" w:eastAsia="宋体" w:cs="Times New Roman"/>
          <w:color w:val="auto"/>
          <w:sz w:val="18"/>
          <w:szCs w:val="21"/>
          <w:highlight w:val="none"/>
        </w:rPr>
      </w:pPr>
      <w:r>
        <w:rPr>
          <w:rFonts w:hint="default" w:ascii="Times New Roman" w:hAnsi="Times New Roman" w:cs="Times New Roman"/>
          <w:b/>
          <w:szCs w:val="21"/>
        </w:rPr>
        <w:t>对照特征图谱</w:t>
      </w:r>
    </w:p>
    <w:p>
      <w:pPr>
        <w:keepNext w:val="0"/>
        <w:keepLines w:val="0"/>
        <w:pageBreakBefore w:val="0"/>
        <w:widowControl/>
        <w:kinsoku/>
        <w:wordWrap/>
        <w:overflowPunct/>
        <w:topLinePunct w:val="0"/>
        <w:autoSpaceDE/>
        <w:autoSpaceDN/>
        <w:bidi w:val="0"/>
        <w:adjustRightInd w:val="0"/>
        <w:snapToGrid w:val="0"/>
        <w:spacing w:line="276" w:lineRule="auto"/>
        <w:ind w:firstLine="0" w:firstLineChars="0"/>
        <w:jc w:val="center"/>
        <w:textAlignment w:val="auto"/>
        <w:rPr>
          <w:rFonts w:hint="default" w:ascii="Times New Roman" w:hAnsi="Times New Roman" w:eastAsia="宋体" w:cs="Times New Roman"/>
          <w:color w:val="auto"/>
          <w:sz w:val="18"/>
          <w:szCs w:val="21"/>
          <w:highlight w:val="none"/>
          <w:lang w:val="en-US" w:eastAsia="zh-CN"/>
        </w:rPr>
      </w:pPr>
      <w:r>
        <w:rPr>
          <w:rFonts w:hint="default" w:ascii="Times New Roman" w:hAnsi="Times New Roman" w:eastAsia="宋体" w:cs="Times New Roman"/>
          <w:color w:val="auto"/>
          <w:sz w:val="18"/>
          <w:szCs w:val="21"/>
          <w:highlight w:val="none"/>
        </w:rPr>
        <w:t>峰</w:t>
      </w:r>
      <w:r>
        <w:rPr>
          <w:rFonts w:hint="default" w:ascii="Times New Roman" w:hAnsi="Times New Roman" w:eastAsia="宋体" w:cs="Times New Roman"/>
          <w:color w:val="auto"/>
          <w:sz w:val="18"/>
          <w:szCs w:val="21"/>
          <w:highlight w:val="none"/>
          <w:lang w:val="en-US" w:eastAsia="zh-CN"/>
        </w:rPr>
        <w:t>2</w:t>
      </w:r>
      <w:r>
        <w:rPr>
          <w:rFonts w:hint="default" w:ascii="Times New Roman" w:hAnsi="Times New Roman" w:eastAsia="宋体" w:cs="Times New Roman"/>
          <w:color w:val="auto"/>
          <w:sz w:val="18"/>
          <w:szCs w:val="21"/>
          <w:highlight w:val="none"/>
        </w:rPr>
        <w:t>（S）：</w:t>
      </w:r>
      <w:r>
        <w:rPr>
          <w:rFonts w:hint="default" w:ascii="Times New Roman" w:hAnsi="Times New Roman" w:eastAsia="宋体" w:cs="Times New Roman"/>
          <w:color w:val="auto"/>
          <w:sz w:val="18"/>
          <w:szCs w:val="21"/>
          <w:highlight w:val="none"/>
          <w:lang w:eastAsia="zh-CN"/>
        </w:rPr>
        <w:t>儿茶素</w:t>
      </w:r>
    </w:p>
    <w:p>
      <w:pPr>
        <w:keepNext w:val="0"/>
        <w:keepLines w:val="0"/>
        <w:pageBreakBefore w:val="0"/>
        <w:widowControl/>
        <w:kinsoku/>
        <w:wordWrap/>
        <w:overflowPunct/>
        <w:topLinePunct w:val="0"/>
        <w:autoSpaceDE/>
        <w:autoSpaceDN/>
        <w:bidi w:val="0"/>
        <w:adjustRightInd/>
        <w:snapToGrid w:val="0"/>
        <w:spacing w:after="156" w:afterLines="50" w:line="276" w:lineRule="auto"/>
        <w:ind w:firstLine="0"/>
        <w:jc w:val="center"/>
        <w:textAlignment w:val="auto"/>
        <w:outlineLvl w:val="9"/>
        <w:rPr>
          <w:rFonts w:hint="default" w:ascii="Times New Roman" w:hAnsi="Times New Roman" w:cs="Times New Roman"/>
          <w:sz w:val="18"/>
          <w:szCs w:val="21"/>
        </w:rPr>
      </w:pPr>
      <w:r>
        <w:rPr>
          <w:rFonts w:hint="default" w:ascii="Times New Roman" w:hAnsi="Times New Roman" w:cs="Times New Roman"/>
          <w:sz w:val="18"/>
          <w:szCs w:val="21"/>
          <w:lang w:val="en-US" w:eastAsia="zh-CN"/>
        </w:rPr>
        <w:t>参考</w:t>
      </w:r>
      <w:r>
        <w:rPr>
          <w:rFonts w:hint="default" w:ascii="Times New Roman" w:hAnsi="Times New Roman" w:cs="Times New Roman"/>
          <w:sz w:val="18"/>
          <w:szCs w:val="21"/>
        </w:rPr>
        <w:t>色谱柱</w:t>
      </w:r>
      <w:r>
        <w:rPr>
          <w:rFonts w:hint="default" w:ascii="Times New Roman" w:hAnsi="Times New Roman" w:cs="Times New Roman"/>
          <w:sz w:val="18"/>
          <w:szCs w:val="21"/>
          <w:lang w:eastAsia="zh-CN"/>
        </w:rPr>
        <w:t>：</w:t>
      </w:r>
      <w:r>
        <w:rPr>
          <w:rFonts w:hint="default" w:ascii="Times New Roman" w:hAnsi="Times New Roman" w:cs="Times New Roman"/>
          <w:sz w:val="18"/>
          <w:szCs w:val="21"/>
          <w:lang w:val="en-US" w:eastAsia="zh-CN"/>
        </w:rPr>
        <w:t>HSS T3</w:t>
      </w:r>
      <w:r>
        <w:rPr>
          <w:rFonts w:hint="default" w:ascii="Times New Roman" w:hAnsi="Times New Roman" w:cs="Times New Roman"/>
          <w:sz w:val="18"/>
          <w:szCs w:val="21"/>
          <w:lang w:eastAsia="zh-CN"/>
        </w:rPr>
        <w:t>，</w:t>
      </w:r>
      <w:r>
        <w:rPr>
          <w:rFonts w:hint="default" w:ascii="Times New Roman" w:hAnsi="Times New Roman" w:cs="Times New Roman"/>
          <w:sz w:val="18"/>
          <w:szCs w:val="21"/>
          <w:lang w:val="en-US" w:eastAsia="zh-CN"/>
        </w:rPr>
        <w:t>2.1</w:t>
      </w:r>
      <w:r>
        <w:rPr>
          <w:rFonts w:hint="default" w:ascii="Times New Roman" w:hAnsi="Times New Roman" w:cs="Times New Roman"/>
          <w:sz w:val="18"/>
          <w:szCs w:val="21"/>
        </w:rPr>
        <w:t>mm</w:t>
      </w:r>
      <w:r>
        <w:rPr>
          <w:rFonts w:hint="default" w:ascii="Times New Roman" w:hAnsi="Times New Roman" w:cs="Times New Roman"/>
          <w:sz w:val="18"/>
          <w:szCs w:val="21"/>
        </w:rPr>
        <w:sym w:font="Wingdings 2" w:char="F0CD"/>
      </w:r>
      <w:r>
        <w:rPr>
          <w:rFonts w:hint="default" w:ascii="Times New Roman" w:hAnsi="Times New Roman" w:cs="Times New Roman"/>
          <w:sz w:val="18"/>
          <w:szCs w:val="21"/>
          <w:lang w:val="en-US" w:eastAsia="zh-CN"/>
        </w:rPr>
        <w:t>100</w:t>
      </w:r>
      <w:r>
        <w:rPr>
          <w:rFonts w:hint="default" w:ascii="Times New Roman" w:hAnsi="Times New Roman" w:cs="Times New Roman"/>
          <w:sz w:val="18"/>
          <w:szCs w:val="21"/>
        </w:rPr>
        <w:t>mm，</w:t>
      </w:r>
      <w:r>
        <w:rPr>
          <w:rFonts w:hint="default" w:ascii="Times New Roman" w:hAnsi="Times New Roman" w:cs="Times New Roman"/>
          <w:sz w:val="18"/>
          <w:szCs w:val="21"/>
          <w:lang w:val="en-US" w:eastAsia="zh-CN"/>
        </w:rPr>
        <w:t>1.8</w:t>
      </w:r>
      <w:r>
        <w:rPr>
          <w:rFonts w:hint="default" w:ascii="Times New Roman" w:hAnsi="Times New Roman" w:cs="Times New Roman"/>
          <w:sz w:val="18"/>
          <w:szCs w:val="21"/>
        </w:rPr>
        <w:t>μm</w:t>
      </w:r>
    </w:p>
    <w:p>
      <w:pPr>
        <w:pageBreakBefore w:val="0"/>
        <w:kinsoku/>
        <w:wordWrap/>
        <w:overflowPunct/>
        <w:topLinePunct w:val="0"/>
        <w:bidi w:val="0"/>
        <w:adjustRightInd w:val="0"/>
        <w:snapToGrid w:val="0"/>
        <w:spacing w:line="360" w:lineRule="auto"/>
        <w:ind w:firstLine="422" w:firstLineChars="200"/>
        <w:jc w:val="both"/>
        <w:rPr>
          <w:rFonts w:hint="default" w:ascii="Times New Roman" w:hAnsi="Times New Roman" w:eastAsia="宋体" w:cs="Times New Roman"/>
          <w:bCs/>
          <w:sz w:val="21"/>
          <w:szCs w:val="21"/>
        </w:rPr>
      </w:pPr>
      <w:r>
        <w:rPr>
          <w:rFonts w:hint="default" w:ascii="Times New Roman" w:hAnsi="Times New Roman" w:eastAsia="宋体" w:cs="Times New Roman"/>
          <w:b/>
          <w:sz w:val="21"/>
          <w:szCs w:val="21"/>
        </w:rPr>
        <w:t>【</w:t>
      </w:r>
      <w:r>
        <w:rPr>
          <w:rFonts w:hint="default" w:ascii="Times New Roman" w:hAnsi="Times New Roman" w:eastAsia="黑体" w:cs="Times New Roman"/>
          <w:bCs/>
          <w:szCs w:val="21"/>
          <w:lang w:val="en-US" w:eastAsia="zh-CN"/>
        </w:rPr>
        <w:t>检查</w:t>
      </w:r>
      <w:r>
        <w:rPr>
          <w:rFonts w:hint="default" w:ascii="Times New Roman" w:hAnsi="Times New Roman" w:eastAsia="宋体" w:cs="Times New Roman"/>
          <w:b/>
          <w:sz w:val="21"/>
          <w:szCs w:val="21"/>
        </w:rPr>
        <w:t>】</w:t>
      </w:r>
      <w:r>
        <w:rPr>
          <w:rFonts w:hint="default" w:ascii="Times New Roman" w:hAnsi="Times New Roman" w:eastAsia="宋体" w:cs="Times New Roman"/>
          <w:b/>
          <w:sz w:val="21"/>
          <w:szCs w:val="21"/>
          <w:lang w:val="en-US" w:eastAsia="zh-CN"/>
        </w:rPr>
        <w:t xml:space="preserve"> </w:t>
      </w:r>
      <w:r>
        <w:rPr>
          <w:rFonts w:hint="default" w:ascii="Times New Roman" w:hAnsi="Times New Roman" w:eastAsia="宋体" w:cs="Times New Roman"/>
          <w:b/>
          <w:sz w:val="21"/>
          <w:szCs w:val="21"/>
        </w:rPr>
        <w:t xml:space="preserve"> </w:t>
      </w:r>
      <w:r>
        <w:rPr>
          <w:rFonts w:hint="default" w:ascii="Times New Roman" w:hAnsi="Times New Roman" w:eastAsia="宋体" w:cs="Times New Roman"/>
          <w:bCs/>
          <w:sz w:val="21"/>
          <w:szCs w:val="21"/>
        </w:rPr>
        <w:t>应符合颗粒剂项下有关的各项规定（</w:t>
      </w:r>
      <w:r>
        <w:rPr>
          <w:rFonts w:hint="default" w:ascii="Times New Roman" w:hAnsi="Times New Roman" w:eastAsia="宋体" w:cs="Times New Roman"/>
          <w:bCs/>
          <w:sz w:val="21"/>
          <w:szCs w:val="21"/>
          <w:lang w:eastAsia="zh-CN"/>
        </w:rPr>
        <w:t>中国药典2020</w:t>
      </w:r>
      <w:r>
        <w:rPr>
          <w:rFonts w:hint="default" w:ascii="Times New Roman" w:hAnsi="Times New Roman" w:eastAsia="宋体" w:cs="Times New Roman"/>
          <w:bCs/>
          <w:sz w:val="21"/>
          <w:szCs w:val="21"/>
        </w:rPr>
        <w:t>年版通则0104）。</w:t>
      </w:r>
    </w:p>
    <w:p>
      <w:pPr>
        <w:pageBreakBefore w:val="0"/>
        <w:kinsoku/>
        <w:wordWrap/>
        <w:overflowPunct/>
        <w:topLinePunct w:val="0"/>
        <w:bidi w:val="0"/>
        <w:adjustRightInd w:val="0"/>
        <w:snapToGrid w:val="0"/>
        <w:spacing w:line="360" w:lineRule="auto"/>
        <w:ind w:firstLine="422" w:firstLineChars="200"/>
        <w:jc w:val="both"/>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rPr>
        <w:t>【</w:t>
      </w:r>
      <w:r>
        <w:rPr>
          <w:rFonts w:hint="default" w:ascii="Times New Roman" w:hAnsi="Times New Roman" w:eastAsia="黑体" w:cs="Times New Roman"/>
          <w:bCs/>
          <w:szCs w:val="21"/>
          <w:lang w:val="en-US" w:eastAsia="zh-CN"/>
        </w:rPr>
        <w:t>浸出物</w:t>
      </w:r>
      <w:r>
        <w:rPr>
          <w:rFonts w:hint="default" w:ascii="Times New Roman" w:hAnsi="Times New Roman" w:eastAsia="宋体" w:cs="Times New Roman"/>
          <w:b/>
          <w:sz w:val="21"/>
          <w:szCs w:val="21"/>
        </w:rPr>
        <w:t>】</w:t>
      </w:r>
      <w:r>
        <w:rPr>
          <w:rFonts w:hint="default" w:ascii="Times New Roman" w:hAnsi="Times New Roman" w:eastAsia="宋体" w:cs="Times New Roman"/>
          <w:b/>
          <w:sz w:val="21"/>
          <w:szCs w:val="21"/>
          <w:lang w:val="en-US" w:eastAsia="zh-CN"/>
        </w:rPr>
        <w:t xml:space="preserve"> </w:t>
      </w:r>
      <w:r>
        <w:rPr>
          <w:rFonts w:hint="default" w:ascii="Times New Roman" w:hAnsi="Times New Roman" w:eastAsia="宋体" w:cs="Times New Roman"/>
          <w:b/>
          <w:sz w:val="21"/>
          <w:szCs w:val="21"/>
        </w:rPr>
        <w:t xml:space="preserve"> </w:t>
      </w:r>
      <w:r>
        <w:rPr>
          <w:rFonts w:hint="default" w:ascii="Times New Roman" w:hAnsi="Times New Roman" w:eastAsia="宋体" w:cs="Times New Roman"/>
          <w:sz w:val="21"/>
          <w:szCs w:val="21"/>
        </w:rPr>
        <w:t>取</w:t>
      </w:r>
      <w:r>
        <w:rPr>
          <w:rFonts w:hint="default" w:ascii="Times New Roman" w:hAnsi="Times New Roman" w:eastAsia="宋体" w:cs="Times New Roman"/>
          <w:kern w:val="0"/>
          <w:sz w:val="21"/>
          <w:szCs w:val="21"/>
        </w:rPr>
        <w:t>本品</w:t>
      </w:r>
      <w:r>
        <w:rPr>
          <w:rFonts w:hint="default" w:ascii="Times New Roman" w:hAnsi="Times New Roman" w:eastAsia="宋体" w:cs="Times New Roman"/>
          <w:kern w:val="0"/>
          <w:sz w:val="21"/>
          <w:szCs w:val="21"/>
          <w:highlight w:val="none"/>
        </w:rPr>
        <w:t>研细，取约2g，</w:t>
      </w:r>
      <w:r>
        <w:rPr>
          <w:rFonts w:hint="default" w:ascii="Times New Roman" w:hAnsi="Times New Roman" w:eastAsia="宋体" w:cs="Times New Roman"/>
          <w:sz w:val="21"/>
          <w:szCs w:val="21"/>
          <w:highlight w:val="none"/>
        </w:rPr>
        <w:t>精密称定，精密加入乙醇100ml，照醇溶性浸出物测定法（</w:t>
      </w:r>
      <w:r>
        <w:rPr>
          <w:rFonts w:hint="default" w:ascii="Times New Roman" w:hAnsi="Times New Roman" w:eastAsia="宋体" w:cs="Times New Roman"/>
          <w:sz w:val="21"/>
          <w:szCs w:val="21"/>
          <w:highlight w:val="none"/>
          <w:lang w:eastAsia="zh-CN"/>
        </w:rPr>
        <w:t>中国药典2020</w:t>
      </w:r>
      <w:r>
        <w:rPr>
          <w:rFonts w:hint="default" w:ascii="Times New Roman" w:hAnsi="Times New Roman" w:eastAsia="宋体" w:cs="Times New Roman"/>
          <w:sz w:val="21"/>
          <w:szCs w:val="21"/>
          <w:highlight w:val="none"/>
        </w:rPr>
        <w:t>年版通则2201）项下的热浸法测定，不得少于</w:t>
      </w:r>
      <w:r>
        <w:rPr>
          <w:rFonts w:hint="default" w:ascii="Times New Roman" w:hAnsi="Times New Roman" w:eastAsia="宋体" w:cs="Times New Roman"/>
          <w:sz w:val="21"/>
          <w:szCs w:val="21"/>
          <w:highlight w:val="none"/>
          <w:lang w:val="en-US" w:eastAsia="zh-CN"/>
        </w:rPr>
        <w:t>32</w:t>
      </w:r>
      <w:r>
        <w:rPr>
          <w:rFonts w:hint="default" w:ascii="Times New Roman" w:hAnsi="Times New Roman" w:eastAsia="宋体" w:cs="Times New Roman"/>
          <w:sz w:val="21"/>
          <w:szCs w:val="21"/>
          <w:highlight w:val="none"/>
        </w:rPr>
        <w:t>.0%。</w:t>
      </w:r>
    </w:p>
    <w:p>
      <w:pPr>
        <w:pageBreakBefore w:val="0"/>
        <w:kinsoku/>
        <w:wordWrap/>
        <w:overflowPunct/>
        <w:topLinePunct w:val="0"/>
        <w:bidi w:val="0"/>
        <w:adjustRightInd w:val="0"/>
        <w:snapToGrid w:val="0"/>
        <w:spacing w:line="360" w:lineRule="auto"/>
        <w:ind w:firstLine="422" w:firstLineChars="200"/>
        <w:jc w:val="left"/>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
          <w:bCs/>
          <w:color w:val="auto"/>
          <w:sz w:val="21"/>
          <w:szCs w:val="21"/>
          <w:highlight w:val="none"/>
        </w:rPr>
        <w:t>【</w:t>
      </w:r>
      <w:r>
        <w:rPr>
          <w:rFonts w:hint="default" w:ascii="Times New Roman" w:hAnsi="Times New Roman" w:eastAsia="黑体" w:cs="Times New Roman"/>
          <w:bCs/>
          <w:szCs w:val="21"/>
          <w:lang w:val="en-US" w:eastAsia="zh-CN"/>
        </w:rPr>
        <w:t>含量测定</w:t>
      </w:r>
      <w:r>
        <w:rPr>
          <w:rFonts w:hint="default" w:ascii="Times New Roman" w:hAnsi="Times New Roman" w:eastAsia="宋体" w:cs="Times New Roman"/>
          <w:b/>
          <w:color w:val="auto"/>
          <w:sz w:val="21"/>
          <w:szCs w:val="21"/>
          <w:highlight w:val="none"/>
        </w:rPr>
        <w:t xml:space="preserve">】 </w:t>
      </w:r>
      <w:r>
        <w:rPr>
          <w:rFonts w:hint="default" w:ascii="Times New Roman" w:hAnsi="Times New Roman" w:eastAsia="宋体" w:cs="Times New Roman"/>
          <w:b/>
          <w:color w:val="auto"/>
          <w:sz w:val="21"/>
          <w:szCs w:val="21"/>
          <w:highlight w:val="none"/>
          <w:lang w:val="en-US" w:eastAsia="zh-CN"/>
        </w:rPr>
        <w:t xml:space="preserve"> </w:t>
      </w:r>
      <w:r>
        <w:rPr>
          <w:rFonts w:hint="default" w:ascii="Times New Roman" w:hAnsi="Times New Roman" w:eastAsia="宋体" w:cs="Times New Roman"/>
          <w:bCs/>
          <w:color w:val="auto"/>
          <w:sz w:val="21"/>
          <w:szCs w:val="21"/>
          <w:highlight w:val="none"/>
        </w:rPr>
        <w:t>照</w:t>
      </w:r>
      <w:r>
        <w:rPr>
          <w:rFonts w:hint="default" w:ascii="Times New Roman" w:hAnsi="Times New Roman" w:eastAsia="宋体" w:cs="Times New Roman"/>
          <w:color w:val="auto"/>
          <w:sz w:val="21"/>
          <w:szCs w:val="21"/>
          <w:highlight w:val="none"/>
        </w:rPr>
        <w:t>高效液相色谱法</w:t>
      </w:r>
      <w:r>
        <w:rPr>
          <w:rFonts w:hint="default" w:ascii="Times New Roman" w:hAnsi="Times New Roman" w:eastAsia="宋体" w:cs="Times New Roman"/>
          <w:bCs/>
          <w:color w:val="auto"/>
          <w:sz w:val="21"/>
          <w:szCs w:val="21"/>
          <w:highlight w:val="none"/>
        </w:rPr>
        <w:t>（中国药典20</w:t>
      </w:r>
      <w:r>
        <w:rPr>
          <w:rFonts w:hint="default" w:ascii="Times New Roman" w:hAnsi="Times New Roman" w:eastAsia="宋体" w:cs="Times New Roman"/>
          <w:bCs/>
          <w:color w:val="auto"/>
          <w:sz w:val="21"/>
          <w:szCs w:val="21"/>
          <w:highlight w:val="none"/>
          <w:lang w:val="en-US" w:eastAsia="zh-CN"/>
        </w:rPr>
        <w:t>20</w:t>
      </w:r>
      <w:r>
        <w:rPr>
          <w:rFonts w:hint="default" w:ascii="Times New Roman" w:hAnsi="Times New Roman" w:eastAsia="宋体" w:cs="Times New Roman"/>
          <w:bCs/>
          <w:color w:val="auto"/>
          <w:sz w:val="21"/>
          <w:szCs w:val="21"/>
          <w:highlight w:val="none"/>
        </w:rPr>
        <w:t>年版通则0512）测定。</w:t>
      </w:r>
    </w:p>
    <w:p>
      <w:pPr>
        <w:pageBreakBefore w:val="0"/>
        <w:kinsoku/>
        <w:wordWrap/>
        <w:overflowPunct/>
        <w:topLinePunct w:val="0"/>
        <w:bidi w:val="0"/>
        <w:adjustRightInd w:val="0"/>
        <w:snapToGrid w:val="0"/>
        <w:spacing w:line="360" w:lineRule="auto"/>
        <w:ind w:firstLine="420" w:firstLineChars="200"/>
        <w:rPr>
          <w:rFonts w:hint="default" w:ascii="Times New Roman" w:hAnsi="Times New Roman" w:eastAsia="宋体" w:cs="Times New Roman"/>
          <w:color w:val="auto"/>
          <w:sz w:val="24"/>
          <w:szCs w:val="24"/>
          <w:lang w:val="en-US" w:eastAsia="zh-CN"/>
        </w:rPr>
      </w:pPr>
      <w:r>
        <w:rPr>
          <w:rFonts w:hint="default" w:ascii="Times New Roman" w:hAnsi="Times New Roman" w:eastAsia="黑体" w:cs="Times New Roman"/>
          <w:bCs/>
          <w:szCs w:val="21"/>
          <w:lang w:val="en-US" w:eastAsia="zh-CN"/>
        </w:rPr>
        <w:t>色谱条件与系统适用性试验</w:t>
      </w:r>
      <w:r>
        <w:rPr>
          <w:rFonts w:hint="default" w:ascii="Times New Roman" w:hAnsi="Times New Roman" w:eastAsia="宋体" w:cs="Times New Roman"/>
          <w:b/>
          <w:color w:val="auto"/>
          <w:sz w:val="21"/>
          <w:szCs w:val="21"/>
          <w:highlight w:val="none"/>
          <w:lang w:val="en-US" w:eastAsia="zh-CN"/>
        </w:rPr>
        <w:t xml:space="preserve">  </w:t>
      </w:r>
      <w:r>
        <w:rPr>
          <w:rFonts w:hint="default" w:ascii="Times New Roman" w:hAnsi="Times New Roman" w:eastAsia="宋体" w:cs="Times New Roman"/>
          <w:b w:val="0"/>
          <w:bCs/>
          <w:sz w:val="21"/>
          <w:szCs w:val="21"/>
          <w:highlight w:val="none"/>
        </w:rPr>
        <w:t>以十</w:t>
      </w:r>
      <w:r>
        <w:rPr>
          <w:rFonts w:hint="default" w:ascii="Times New Roman" w:hAnsi="Times New Roman" w:eastAsia="宋体" w:cs="Times New Roman"/>
          <w:b w:val="0"/>
          <w:bCs/>
          <w:color w:val="auto"/>
          <w:sz w:val="21"/>
          <w:szCs w:val="21"/>
          <w:highlight w:val="none"/>
        </w:rPr>
        <w:t>八烷基硅烷键合硅胶为填充剂（柱长为</w:t>
      </w:r>
      <w:r>
        <w:rPr>
          <w:rFonts w:hint="default" w:ascii="Times New Roman" w:hAnsi="Times New Roman" w:eastAsia="宋体" w:cs="Times New Roman"/>
          <w:b w:val="0"/>
          <w:bCs/>
          <w:color w:val="auto"/>
          <w:sz w:val="21"/>
          <w:szCs w:val="21"/>
          <w:highlight w:val="none"/>
          <w:lang w:val="en-US" w:eastAsia="zh-CN"/>
        </w:rPr>
        <w:t>150</w:t>
      </w:r>
      <w:r>
        <w:rPr>
          <w:rFonts w:hint="default" w:ascii="Times New Roman" w:hAnsi="Times New Roman" w:eastAsia="宋体" w:cs="Times New Roman"/>
          <w:b w:val="0"/>
          <w:bCs/>
          <w:color w:val="auto"/>
          <w:sz w:val="21"/>
          <w:szCs w:val="21"/>
          <w:highlight w:val="none"/>
        </w:rPr>
        <w:t>mm，内径为2.1mm，粒径为1.8μm）；以乙腈为流动相A，以</w:t>
      </w:r>
      <w:r>
        <w:rPr>
          <w:rFonts w:hint="default" w:ascii="Times New Roman" w:hAnsi="Times New Roman" w:eastAsia="宋体" w:cs="Times New Roman"/>
          <w:b w:val="0"/>
          <w:bCs/>
          <w:color w:val="auto"/>
          <w:sz w:val="21"/>
          <w:szCs w:val="21"/>
          <w:highlight w:val="none"/>
          <w:lang w:val="en-US" w:eastAsia="zh-CN"/>
        </w:rPr>
        <w:t>0.1</w:t>
      </w:r>
      <w:r>
        <w:rPr>
          <w:rFonts w:hint="default" w:ascii="Times New Roman" w:hAnsi="Times New Roman" w:eastAsia="宋体" w:cs="Times New Roman"/>
          <w:b w:val="0"/>
          <w:bCs/>
          <w:color w:val="auto"/>
          <w:sz w:val="21"/>
          <w:szCs w:val="21"/>
          <w:highlight w:val="none"/>
        </w:rPr>
        <w:t>%磷酸溶液为流动相B，按下表中的规定进行梯度洗脱；流速为每分钟0.</w:t>
      </w:r>
      <w:r>
        <w:rPr>
          <w:rFonts w:hint="default" w:ascii="Times New Roman" w:hAnsi="Times New Roman" w:eastAsia="宋体" w:cs="Times New Roman"/>
          <w:b w:val="0"/>
          <w:bCs/>
          <w:color w:val="auto"/>
          <w:sz w:val="21"/>
          <w:szCs w:val="21"/>
          <w:highlight w:val="none"/>
          <w:lang w:val="en-US" w:eastAsia="zh-CN"/>
        </w:rPr>
        <w:t>4</w:t>
      </w:r>
      <w:r>
        <w:rPr>
          <w:rFonts w:hint="default" w:ascii="Times New Roman" w:hAnsi="Times New Roman" w:eastAsia="宋体" w:cs="Times New Roman"/>
          <w:b w:val="0"/>
          <w:bCs/>
          <w:color w:val="auto"/>
          <w:sz w:val="21"/>
          <w:szCs w:val="21"/>
          <w:highlight w:val="none"/>
        </w:rPr>
        <w:t>ml；柱温为30℃；检测波长为</w:t>
      </w:r>
      <w:r>
        <w:rPr>
          <w:rFonts w:hint="default" w:ascii="Times New Roman" w:hAnsi="Times New Roman" w:eastAsia="宋体" w:cs="Times New Roman"/>
          <w:b w:val="0"/>
          <w:bCs/>
          <w:color w:val="auto"/>
          <w:sz w:val="21"/>
          <w:szCs w:val="21"/>
          <w:highlight w:val="none"/>
          <w:lang w:val="en-US" w:eastAsia="zh-CN"/>
        </w:rPr>
        <w:t>280</w:t>
      </w:r>
      <w:r>
        <w:rPr>
          <w:rFonts w:hint="default" w:ascii="Times New Roman" w:hAnsi="Times New Roman" w:eastAsia="宋体" w:cs="Times New Roman"/>
          <w:b w:val="0"/>
          <w:bCs/>
          <w:color w:val="auto"/>
          <w:sz w:val="21"/>
          <w:szCs w:val="21"/>
          <w:highlight w:val="none"/>
        </w:rPr>
        <w:t>nm。理论板数按</w:t>
      </w:r>
      <w:r>
        <w:rPr>
          <w:rFonts w:hint="default" w:ascii="Times New Roman" w:hAnsi="Times New Roman" w:eastAsia="宋体" w:cs="Times New Roman"/>
          <w:b w:val="0"/>
          <w:bCs/>
          <w:color w:val="auto"/>
          <w:sz w:val="21"/>
          <w:szCs w:val="21"/>
          <w:highlight w:val="none"/>
          <w:lang w:val="en-US" w:eastAsia="zh-CN"/>
        </w:rPr>
        <w:t>儿茶素</w:t>
      </w:r>
      <w:r>
        <w:rPr>
          <w:rFonts w:hint="default" w:ascii="Times New Roman" w:hAnsi="Times New Roman" w:eastAsia="宋体" w:cs="Times New Roman"/>
          <w:b w:val="0"/>
          <w:bCs/>
          <w:color w:val="auto"/>
          <w:sz w:val="21"/>
          <w:szCs w:val="21"/>
          <w:highlight w:val="none"/>
        </w:rPr>
        <w:t>峰计算应不低于</w:t>
      </w:r>
      <w:r>
        <w:rPr>
          <w:rFonts w:hint="default" w:ascii="Times New Roman" w:hAnsi="Times New Roman" w:eastAsia="宋体" w:cs="Times New Roman"/>
          <w:b w:val="0"/>
          <w:bCs/>
          <w:color w:val="auto"/>
          <w:sz w:val="21"/>
          <w:szCs w:val="21"/>
          <w:highlight w:val="none"/>
          <w:lang w:val="en-US" w:eastAsia="zh-CN"/>
        </w:rPr>
        <w:t>8</w:t>
      </w:r>
      <w:r>
        <w:rPr>
          <w:rFonts w:hint="default" w:ascii="Times New Roman" w:hAnsi="Times New Roman" w:eastAsia="宋体" w:cs="Times New Roman"/>
          <w:b w:val="0"/>
          <w:bCs/>
          <w:color w:val="auto"/>
          <w:sz w:val="21"/>
          <w:szCs w:val="21"/>
          <w:highlight w:val="none"/>
        </w:rPr>
        <w:t>000</w:t>
      </w:r>
      <w:r>
        <w:rPr>
          <w:rFonts w:hint="default" w:ascii="Times New Roman" w:hAnsi="Times New Roman" w:eastAsia="宋体" w:cs="Times New Roman"/>
          <w:color w:val="auto"/>
          <w:sz w:val="21"/>
          <w:szCs w:val="21"/>
          <w:highlight w:val="none"/>
        </w:rPr>
        <w:t>。</w:t>
      </w:r>
    </w:p>
    <w:tbl>
      <w:tblPr>
        <w:tblStyle w:val="10"/>
        <w:tblW w:w="4998"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9"/>
        <w:gridCol w:w="2840"/>
        <w:gridCol w:w="2840"/>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blHeader/>
          <w:jc w:val="center"/>
        </w:trPr>
        <w:tc>
          <w:tcPr>
            <w:tcW w:w="1666" w:type="pct"/>
            <w:tcBorders>
              <w:bottom w:val="single" w:color="auto" w:sz="4" w:space="0"/>
            </w:tcBorders>
            <w:noWrap w:val="0"/>
            <w:vAlign w:val="center"/>
          </w:tcPr>
          <w:p>
            <w:pPr>
              <w:snapToGrid w:val="0"/>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时间（分钟）</w:t>
            </w:r>
          </w:p>
        </w:tc>
        <w:tc>
          <w:tcPr>
            <w:tcW w:w="1666" w:type="pct"/>
            <w:tcBorders>
              <w:bottom w:val="single" w:color="auto" w:sz="4" w:space="0"/>
            </w:tcBorders>
            <w:noWrap w:val="0"/>
            <w:vAlign w:val="center"/>
          </w:tcPr>
          <w:p>
            <w:pPr>
              <w:snapToGrid w:val="0"/>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流动相A（%）</w:t>
            </w:r>
          </w:p>
        </w:tc>
        <w:tc>
          <w:tcPr>
            <w:tcW w:w="1666" w:type="pct"/>
            <w:tcBorders>
              <w:bottom w:val="single" w:color="auto" w:sz="4" w:space="0"/>
            </w:tcBorders>
            <w:noWrap w:val="0"/>
            <w:vAlign w:val="center"/>
          </w:tcPr>
          <w:p>
            <w:pPr>
              <w:snapToGrid w:val="0"/>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流动相B（%）</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666" w:type="pct"/>
            <w:tcBorders>
              <w:tl2br w:val="nil"/>
              <w:tr2bl w:val="nil"/>
            </w:tcBorders>
            <w:noWrap w:val="0"/>
            <w:vAlign w:val="center"/>
          </w:tcPr>
          <w:p>
            <w:pPr>
              <w:snapToGrid w:val="0"/>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0~12</w:t>
            </w:r>
          </w:p>
        </w:tc>
        <w:tc>
          <w:tcPr>
            <w:tcW w:w="1666" w:type="pct"/>
            <w:tcBorders>
              <w:tl2br w:val="nil"/>
              <w:tr2bl w:val="nil"/>
            </w:tcBorders>
            <w:noWrap w:val="0"/>
            <w:vAlign w:val="center"/>
          </w:tcPr>
          <w:p>
            <w:pPr>
              <w:snapToGrid w:val="0"/>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9→10</w:t>
            </w:r>
          </w:p>
        </w:tc>
        <w:tc>
          <w:tcPr>
            <w:tcW w:w="1666" w:type="pct"/>
            <w:tcBorders>
              <w:tl2br w:val="nil"/>
              <w:tr2bl w:val="nil"/>
            </w:tcBorders>
            <w:noWrap w:val="0"/>
            <w:vAlign w:val="center"/>
          </w:tcPr>
          <w:p>
            <w:pPr>
              <w:snapToGrid w:val="0"/>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91→90</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黑体" w:cs="Times New Roman"/>
          <w:bCs/>
          <w:szCs w:val="21"/>
          <w:lang w:val="en-US" w:eastAsia="zh-CN"/>
        </w:rPr>
        <w:t>对照品溶液的制备</w:t>
      </w:r>
      <w:r>
        <w:rPr>
          <w:rFonts w:hint="default" w:ascii="Times New Roman" w:hAnsi="Times New Roman" w:eastAsia="宋体" w:cs="Times New Roman"/>
          <w:b/>
          <w:color w:val="auto"/>
          <w:sz w:val="21"/>
          <w:szCs w:val="21"/>
          <w:highlight w:val="none"/>
        </w:rPr>
        <w:t xml:space="preserve"> </w:t>
      </w:r>
      <w:r>
        <w:rPr>
          <w:rFonts w:hint="default" w:ascii="Times New Roman" w:hAnsi="Times New Roman" w:eastAsia="宋体" w:cs="Times New Roman"/>
          <w:b/>
          <w:color w:val="auto"/>
          <w:sz w:val="21"/>
          <w:szCs w:val="21"/>
          <w:highlight w:val="none"/>
          <w:lang w:val="en-US" w:eastAsia="zh-CN"/>
        </w:rPr>
        <w:t xml:space="preserve"> </w:t>
      </w:r>
      <w:r>
        <w:rPr>
          <w:rFonts w:hint="default" w:ascii="Times New Roman" w:hAnsi="Times New Roman" w:eastAsia="宋体" w:cs="Times New Roman"/>
          <w:color w:val="000000"/>
          <w:sz w:val="21"/>
          <w:szCs w:val="21"/>
          <w:highlight w:val="none"/>
        </w:rPr>
        <w:t>取</w:t>
      </w:r>
      <w:r>
        <w:rPr>
          <w:rFonts w:hint="default" w:ascii="Times New Roman" w:hAnsi="Times New Roman" w:eastAsia="宋体" w:cs="Times New Roman"/>
          <w:color w:val="000000"/>
          <w:sz w:val="21"/>
          <w:szCs w:val="21"/>
          <w:highlight w:val="none"/>
          <w:lang w:eastAsia="zh-CN"/>
        </w:rPr>
        <w:t>儿茶素</w:t>
      </w:r>
      <w:r>
        <w:rPr>
          <w:rFonts w:hint="default" w:ascii="Times New Roman" w:hAnsi="Times New Roman" w:eastAsia="宋体" w:cs="Times New Roman"/>
          <w:color w:val="000000"/>
          <w:sz w:val="21"/>
          <w:szCs w:val="21"/>
          <w:highlight w:val="none"/>
        </w:rPr>
        <w:t>对照品适量，精密称定，加</w:t>
      </w:r>
      <w:r>
        <w:rPr>
          <w:rFonts w:hint="default" w:ascii="Times New Roman" w:hAnsi="Times New Roman" w:eastAsia="宋体" w:cs="Times New Roman"/>
          <w:color w:val="000000"/>
          <w:sz w:val="21"/>
          <w:szCs w:val="21"/>
          <w:highlight w:val="none"/>
          <w:lang w:val="en-US" w:eastAsia="zh-CN"/>
        </w:rPr>
        <w:t>50</w:t>
      </w:r>
      <w:r>
        <w:rPr>
          <w:rFonts w:hint="default" w:ascii="Times New Roman" w:hAnsi="Times New Roman" w:eastAsia="宋体" w:cs="Times New Roman"/>
          <w:color w:val="000000"/>
          <w:sz w:val="21"/>
          <w:szCs w:val="21"/>
          <w:highlight w:val="none"/>
        </w:rPr>
        <w:t>%甲醇制成每1ml含</w:t>
      </w:r>
      <w:r>
        <w:rPr>
          <w:rFonts w:hint="default" w:ascii="Times New Roman" w:hAnsi="Times New Roman" w:eastAsia="宋体" w:cs="Times New Roman"/>
          <w:color w:val="000000"/>
          <w:sz w:val="21"/>
          <w:szCs w:val="21"/>
          <w:highlight w:val="none"/>
          <w:lang w:val="en-US" w:eastAsia="zh-CN"/>
        </w:rPr>
        <w:t>200</w:t>
      </w:r>
      <w:r>
        <w:rPr>
          <w:rFonts w:hint="default" w:ascii="Times New Roman" w:hAnsi="Times New Roman" w:eastAsia="宋体" w:cs="Times New Roman"/>
          <w:color w:val="000000"/>
          <w:sz w:val="21"/>
          <w:szCs w:val="21"/>
          <w:highlight w:val="none"/>
        </w:rPr>
        <w:t>µg的溶液，即得</w:t>
      </w:r>
      <w:r>
        <w:rPr>
          <w:rFonts w:hint="default" w:ascii="Times New Roman" w:hAnsi="Times New Roman" w:eastAsia="宋体" w:cs="Times New Roman"/>
          <w:color w:val="auto"/>
          <w:sz w:val="21"/>
          <w:szCs w:val="21"/>
          <w:highlight w:val="none"/>
        </w:rPr>
        <w:t>。</w:t>
      </w:r>
    </w:p>
    <w:p>
      <w:pPr>
        <w:pageBreakBefore w:val="0"/>
        <w:kinsoku/>
        <w:wordWrap/>
        <w:overflowPunct/>
        <w:topLinePunct w:val="0"/>
        <w:bidi w:val="0"/>
        <w:adjustRightInd w:val="0"/>
        <w:snapToGrid w:val="0"/>
        <w:spacing w:line="360" w:lineRule="auto"/>
        <w:ind w:firstLine="420" w:firstLineChars="200"/>
        <w:jc w:val="both"/>
        <w:rPr>
          <w:rFonts w:hint="default" w:ascii="Times New Roman" w:hAnsi="Times New Roman" w:eastAsia="宋体" w:cs="Times New Roman"/>
          <w:color w:val="auto"/>
          <w:sz w:val="21"/>
          <w:szCs w:val="21"/>
          <w:highlight w:val="none"/>
        </w:rPr>
      </w:pPr>
      <w:r>
        <w:rPr>
          <w:rFonts w:hint="default" w:ascii="Times New Roman" w:hAnsi="Times New Roman" w:eastAsia="黑体" w:cs="Times New Roman"/>
          <w:bCs/>
          <w:szCs w:val="21"/>
          <w:lang w:val="en-US" w:eastAsia="zh-CN"/>
        </w:rPr>
        <w:t>供试品溶液的制备</w:t>
      </w:r>
      <w:r>
        <w:rPr>
          <w:rFonts w:hint="default" w:ascii="Times New Roman" w:hAnsi="Times New Roman" w:eastAsia="宋体" w:cs="Times New Roman"/>
          <w:color w:val="auto"/>
          <w:sz w:val="21"/>
          <w:szCs w:val="21"/>
          <w:highlight w:val="none"/>
        </w:rPr>
        <w:t xml:space="preserve"> </w:t>
      </w:r>
      <w:r>
        <w:rPr>
          <w:rFonts w:hint="default" w:ascii="Times New Roman" w:hAnsi="Times New Roman" w:eastAsia="宋体"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取</w:t>
      </w:r>
      <w:r>
        <w:rPr>
          <w:rFonts w:hint="default" w:ascii="Times New Roman" w:hAnsi="Times New Roman" w:eastAsia="宋体" w:cs="Times New Roman"/>
          <w:color w:val="auto"/>
          <w:sz w:val="21"/>
          <w:szCs w:val="21"/>
          <w:highlight w:val="none"/>
          <w:lang w:val="en-US" w:eastAsia="zh-CN"/>
        </w:rPr>
        <w:t>本品</w:t>
      </w:r>
      <w:r>
        <w:rPr>
          <w:rFonts w:hint="default" w:ascii="Times New Roman" w:hAnsi="Times New Roman" w:eastAsia="宋体" w:cs="Times New Roman"/>
          <w:color w:val="auto"/>
          <w:sz w:val="21"/>
          <w:szCs w:val="21"/>
          <w:highlight w:val="none"/>
        </w:rPr>
        <w:t>适量，研细，取约0.</w:t>
      </w:r>
      <w:r>
        <w:rPr>
          <w:rFonts w:hint="default" w:ascii="Times New Roman" w:hAnsi="Times New Roman" w:eastAsia="宋体" w:cs="Times New Roman"/>
          <w:color w:val="auto"/>
          <w:sz w:val="21"/>
          <w:szCs w:val="21"/>
          <w:highlight w:val="none"/>
          <w:lang w:val="en-US" w:eastAsia="zh-CN"/>
        </w:rPr>
        <w:t>4</w:t>
      </w:r>
      <w:r>
        <w:rPr>
          <w:rFonts w:hint="default" w:ascii="Times New Roman" w:hAnsi="Times New Roman" w:eastAsia="宋体" w:cs="Times New Roman"/>
          <w:color w:val="auto"/>
          <w:sz w:val="21"/>
          <w:szCs w:val="21"/>
          <w:highlight w:val="none"/>
        </w:rPr>
        <w:t>g，精密称定，置具塞锥形瓶中，精密加入</w:t>
      </w:r>
      <w:r>
        <w:rPr>
          <w:rFonts w:hint="default" w:ascii="Times New Roman" w:hAnsi="Times New Roman" w:eastAsia="宋体" w:cs="Times New Roman"/>
          <w:color w:val="auto"/>
          <w:sz w:val="21"/>
          <w:szCs w:val="21"/>
          <w:highlight w:val="none"/>
          <w:lang w:val="en-US" w:eastAsia="zh-CN"/>
        </w:rPr>
        <w:t>50</w:t>
      </w:r>
      <w:r>
        <w:rPr>
          <w:rFonts w:hint="default" w:ascii="Times New Roman" w:hAnsi="Times New Roman" w:eastAsia="宋体" w:cs="Times New Roman"/>
          <w:color w:val="auto"/>
          <w:sz w:val="21"/>
          <w:szCs w:val="21"/>
          <w:highlight w:val="none"/>
        </w:rPr>
        <w:t>%甲醇</w:t>
      </w:r>
      <w:r>
        <w:rPr>
          <w:rFonts w:hint="default" w:ascii="Times New Roman" w:hAnsi="Times New Roman" w:eastAsia="宋体" w:cs="Times New Roman"/>
          <w:color w:val="auto"/>
          <w:sz w:val="21"/>
          <w:szCs w:val="21"/>
          <w:highlight w:val="none"/>
          <w:lang w:val="en-US" w:eastAsia="zh-CN"/>
        </w:rPr>
        <w:t>20</w:t>
      </w:r>
      <w:r>
        <w:rPr>
          <w:rFonts w:hint="default" w:ascii="Times New Roman" w:hAnsi="Times New Roman" w:eastAsia="宋体" w:cs="Times New Roman"/>
          <w:color w:val="auto"/>
          <w:sz w:val="21"/>
          <w:szCs w:val="21"/>
          <w:highlight w:val="none"/>
        </w:rPr>
        <w:t>ml，称定重量，超声处理（功率</w:t>
      </w:r>
      <w:r>
        <w:rPr>
          <w:rFonts w:hint="default" w:ascii="Times New Roman" w:hAnsi="Times New Roman" w:eastAsia="宋体" w:cs="Times New Roman"/>
          <w:color w:val="auto"/>
          <w:sz w:val="21"/>
          <w:szCs w:val="21"/>
          <w:highlight w:val="none"/>
          <w:lang w:val="en-US" w:eastAsia="zh-CN"/>
        </w:rPr>
        <w:t>300</w:t>
      </w:r>
      <w:r>
        <w:rPr>
          <w:rFonts w:hint="default" w:ascii="Times New Roman" w:hAnsi="Times New Roman" w:eastAsia="宋体" w:cs="Times New Roman"/>
          <w:color w:val="auto"/>
          <w:sz w:val="21"/>
          <w:szCs w:val="21"/>
          <w:highlight w:val="none"/>
        </w:rPr>
        <w:t>W，频率40kH</w:t>
      </w:r>
      <w:r>
        <w:rPr>
          <w:rFonts w:hint="default" w:ascii="Times New Roman" w:hAnsi="Times New Roman" w:eastAsia="宋体" w:cs="Times New Roman"/>
          <w:color w:val="auto"/>
          <w:sz w:val="21"/>
          <w:szCs w:val="21"/>
          <w:highlight w:val="none"/>
          <w:lang w:val="en-US" w:eastAsia="zh-CN"/>
        </w:rPr>
        <w:t>z</w:t>
      </w:r>
      <w:r>
        <w:rPr>
          <w:rFonts w:hint="default" w:ascii="Times New Roman" w:hAnsi="Times New Roman" w:eastAsia="宋体" w:cs="Times New Roman"/>
          <w:color w:val="auto"/>
          <w:sz w:val="21"/>
          <w:szCs w:val="21"/>
          <w:highlight w:val="none"/>
        </w:rPr>
        <w:t>）</w:t>
      </w:r>
      <w:r>
        <w:rPr>
          <w:rFonts w:hint="default" w:ascii="Times New Roman" w:hAnsi="Times New Roman" w:eastAsia="宋体" w:cs="Times New Roman"/>
          <w:color w:val="auto"/>
          <w:sz w:val="21"/>
          <w:szCs w:val="21"/>
          <w:highlight w:val="none"/>
          <w:lang w:val="en-US" w:eastAsia="zh-CN"/>
        </w:rPr>
        <w:t>30</w:t>
      </w:r>
      <w:r>
        <w:rPr>
          <w:rFonts w:hint="default" w:ascii="Times New Roman" w:hAnsi="Times New Roman" w:eastAsia="宋体" w:cs="Times New Roman"/>
          <w:color w:val="auto"/>
          <w:sz w:val="21"/>
          <w:szCs w:val="21"/>
          <w:highlight w:val="none"/>
        </w:rPr>
        <w:t>分钟，放冷，再称定重量，用</w:t>
      </w:r>
      <w:r>
        <w:rPr>
          <w:rFonts w:hint="default" w:ascii="Times New Roman" w:hAnsi="Times New Roman" w:eastAsia="宋体" w:cs="Times New Roman"/>
          <w:color w:val="auto"/>
          <w:sz w:val="21"/>
          <w:szCs w:val="21"/>
          <w:highlight w:val="none"/>
          <w:lang w:val="en-US" w:eastAsia="zh-CN"/>
        </w:rPr>
        <w:t>50</w:t>
      </w:r>
      <w:r>
        <w:rPr>
          <w:rFonts w:hint="default" w:ascii="Times New Roman" w:hAnsi="Times New Roman" w:eastAsia="宋体" w:cs="Times New Roman"/>
          <w:color w:val="auto"/>
          <w:sz w:val="21"/>
          <w:szCs w:val="21"/>
          <w:highlight w:val="none"/>
        </w:rPr>
        <w:t>%甲醇补足减失的重量，摇匀，滤过，取续滤液，即得。</w:t>
      </w:r>
    </w:p>
    <w:p>
      <w:pPr>
        <w:pageBreakBefore w:val="0"/>
        <w:kinsoku/>
        <w:wordWrap/>
        <w:overflowPunct/>
        <w:topLinePunct w:val="0"/>
        <w:bidi w:val="0"/>
        <w:adjustRightInd w:val="0"/>
        <w:snapToGrid w:val="0"/>
        <w:spacing w:line="360" w:lineRule="auto"/>
        <w:ind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黑体" w:cs="Times New Roman"/>
          <w:bCs/>
          <w:szCs w:val="21"/>
          <w:lang w:val="en-US" w:eastAsia="zh-CN"/>
        </w:rPr>
        <w:t>测定法</w:t>
      </w:r>
      <w:r>
        <w:rPr>
          <w:rFonts w:hint="default" w:ascii="Times New Roman" w:hAnsi="Times New Roman" w:eastAsia="宋体" w:cs="Times New Roman"/>
          <w:b/>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 xml:space="preserve"> 分别精密吸取对照品溶液与供试品溶液各</w:t>
      </w:r>
      <w:r>
        <w:rPr>
          <w:rFonts w:hint="default"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rPr>
        <w:t>μl，注入液相色谱仪，测定，即得。</w:t>
      </w:r>
    </w:p>
    <w:p>
      <w:pPr>
        <w:pageBreakBefore w:val="0"/>
        <w:kinsoku/>
        <w:wordWrap/>
        <w:overflowPunct/>
        <w:topLinePunct w:val="0"/>
        <w:bidi w:val="0"/>
        <w:adjustRightInd w:val="0"/>
        <w:snapToGrid w:val="0"/>
        <w:spacing w:line="360" w:lineRule="auto"/>
        <w:ind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本品每1g含</w:t>
      </w:r>
      <w:r>
        <w:rPr>
          <w:rFonts w:hint="default" w:ascii="Times New Roman" w:hAnsi="Times New Roman" w:eastAsia="宋体" w:cs="Times New Roman"/>
          <w:sz w:val="21"/>
          <w:szCs w:val="21"/>
          <w:highlight w:val="none"/>
          <w:lang w:eastAsia="zh-CN"/>
        </w:rPr>
        <w:t>儿茶素</w:t>
      </w:r>
      <w:r>
        <w:rPr>
          <w:rFonts w:hint="default" w:ascii="Times New Roman" w:hAnsi="Times New Roman" w:eastAsia="宋体" w:cs="Times New Roman"/>
          <w:sz w:val="24"/>
          <w:szCs w:val="24"/>
          <w:highlight w:val="none"/>
        </w:rPr>
        <w:t>（</w:t>
      </w:r>
      <w:r>
        <w:rPr>
          <w:rFonts w:hint="default" w:ascii="Times New Roman" w:hAnsi="Times New Roman" w:eastAsia="宋体" w:cs="Times New Roman"/>
          <w:i w:val="0"/>
          <w:iCs w:val="0"/>
          <w:caps w:val="0"/>
          <w:color w:val="333333"/>
          <w:spacing w:val="0"/>
          <w:sz w:val="24"/>
          <w:szCs w:val="24"/>
          <w:highlight w:val="none"/>
          <w:shd w:val="clear" w:fill="FFFFFF"/>
        </w:rPr>
        <w:t>C</w:t>
      </w:r>
      <w:r>
        <w:rPr>
          <w:rFonts w:hint="default" w:ascii="Times New Roman" w:hAnsi="Times New Roman" w:eastAsia="宋体" w:cs="Times New Roman"/>
          <w:i w:val="0"/>
          <w:iCs w:val="0"/>
          <w:caps w:val="0"/>
          <w:color w:val="333333"/>
          <w:spacing w:val="0"/>
          <w:sz w:val="24"/>
          <w:szCs w:val="24"/>
          <w:highlight w:val="none"/>
          <w:shd w:val="clear" w:fill="FFFFFF"/>
          <w:vertAlign w:val="subscript"/>
        </w:rPr>
        <w:t>15</w:t>
      </w:r>
      <w:r>
        <w:rPr>
          <w:rFonts w:hint="default" w:ascii="Times New Roman" w:hAnsi="Times New Roman" w:eastAsia="宋体" w:cs="Times New Roman"/>
          <w:i w:val="0"/>
          <w:iCs w:val="0"/>
          <w:caps w:val="0"/>
          <w:color w:val="333333"/>
          <w:spacing w:val="0"/>
          <w:sz w:val="24"/>
          <w:szCs w:val="24"/>
          <w:highlight w:val="none"/>
          <w:shd w:val="clear" w:fill="FFFFFF"/>
        </w:rPr>
        <w:t>H</w:t>
      </w:r>
      <w:r>
        <w:rPr>
          <w:rFonts w:hint="default" w:ascii="Times New Roman" w:hAnsi="Times New Roman" w:eastAsia="宋体" w:cs="Times New Roman"/>
          <w:i w:val="0"/>
          <w:iCs w:val="0"/>
          <w:caps w:val="0"/>
          <w:color w:val="333333"/>
          <w:spacing w:val="0"/>
          <w:sz w:val="24"/>
          <w:szCs w:val="24"/>
          <w:highlight w:val="none"/>
          <w:shd w:val="clear" w:fill="FFFFFF"/>
          <w:vertAlign w:val="subscript"/>
        </w:rPr>
        <w:t>14</w:t>
      </w:r>
      <w:r>
        <w:rPr>
          <w:rFonts w:hint="default" w:ascii="Times New Roman" w:hAnsi="Times New Roman" w:eastAsia="宋体" w:cs="Times New Roman"/>
          <w:i w:val="0"/>
          <w:iCs w:val="0"/>
          <w:caps w:val="0"/>
          <w:color w:val="333333"/>
          <w:spacing w:val="0"/>
          <w:sz w:val="24"/>
          <w:szCs w:val="24"/>
          <w:highlight w:val="none"/>
          <w:shd w:val="clear" w:fill="FFFFFF"/>
        </w:rPr>
        <w:t>O</w:t>
      </w:r>
      <w:r>
        <w:rPr>
          <w:rFonts w:hint="default" w:ascii="Times New Roman" w:hAnsi="Times New Roman" w:eastAsia="宋体" w:cs="Times New Roman"/>
          <w:i w:val="0"/>
          <w:iCs w:val="0"/>
          <w:caps w:val="0"/>
          <w:color w:val="333333"/>
          <w:spacing w:val="0"/>
          <w:sz w:val="24"/>
          <w:szCs w:val="24"/>
          <w:highlight w:val="none"/>
          <w:shd w:val="clear" w:fill="FFFFFF"/>
          <w:vertAlign w:val="subscript"/>
        </w:rPr>
        <w:t>6</w:t>
      </w:r>
      <w:r>
        <w:rPr>
          <w:rFonts w:hint="default" w:ascii="Times New Roman" w:hAnsi="Times New Roman" w:eastAsia="宋体" w:cs="Times New Roman"/>
          <w:sz w:val="24"/>
          <w:szCs w:val="24"/>
          <w:highlight w:val="none"/>
        </w:rPr>
        <w:t>）</w:t>
      </w:r>
      <w:r>
        <w:rPr>
          <w:rFonts w:hint="default" w:ascii="Times New Roman" w:hAnsi="Times New Roman" w:eastAsia="宋体" w:cs="Times New Roman"/>
          <w:color w:val="auto"/>
          <w:sz w:val="21"/>
          <w:szCs w:val="21"/>
          <w:highlight w:val="none"/>
          <w:lang w:val="en-US" w:eastAsia="zh-CN"/>
        </w:rPr>
        <w:t>应为1.0</w:t>
      </w:r>
      <w:r>
        <w:rPr>
          <w:rFonts w:hint="default" w:ascii="Times New Roman" w:hAnsi="Times New Roman" w:eastAsia="宋体" w:cs="Times New Roman"/>
          <w:color w:val="auto"/>
          <w:sz w:val="21"/>
          <w:szCs w:val="21"/>
          <w:highlight w:val="none"/>
        </w:rPr>
        <w:t>mg~</w:t>
      </w:r>
      <w:r>
        <w:rPr>
          <w:rFonts w:hint="default" w:ascii="Times New Roman" w:hAnsi="Times New Roman" w:eastAsia="宋体" w:cs="Times New Roman"/>
          <w:color w:val="auto"/>
          <w:sz w:val="21"/>
          <w:szCs w:val="21"/>
          <w:highlight w:val="none"/>
          <w:lang w:val="en-US" w:eastAsia="zh-CN"/>
        </w:rPr>
        <w:t>5.0</w:t>
      </w:r>
      <w:r>
        <w:rPr>
          <w:rFonts w:hint="default" w:ascii="Times New Roman" w:hAnsi="Times New Roman" w:eastAsia="宋体" w:cs="Times New Roman"/>
          <w:color w:val="auto"/>
          <w:sz w:val="21"/>
          <w:szCs w:val="21"/>
          <w:highlight w:val="none"/>
        </w:rPr>
        <w:t>mg。</w:t>
      </w:r>
    </w:p>
    <w:p>
      <w:pPr>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adjustRightInd w:val="0"/>
        <w:snapToGrid w:val="0"/>
        <w:spacing w:line="36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r>
        <w:rPr>
          <w:rFonts w:hint="default" w:ascii="Times New Roman" w:hAnsi="Times New Roman" w:eastAsia="黑体" w:cs="Times New Roman"/>
          <w:bCs/>
          <w:szCs w:val="21"/>
          <w:lang w:val="en-US" w:eastAsia="zh-CN"/>
        </w:rPr>
        <w:t>规格</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每1g配方颗粒相当于饮片</w:t>
      </w:r>
      <w:r>
        <w:rPr>
          <w:rFonts w:hint="default" w:ascii="Times New Roman" w:hAnsi="Times New Roman" w:eastAsia="宋体" w:cs="Times New Roman"/>
          <w:sz w:val="21"/>
          <w:szCs w:val="21"/>
          <w:lang w:val="en-US" w:eastAsia="zh-CN"/>
        </w:rPr>
        <w:t>5</w:t>
      </w:r>
      <w:r>
        <w:rPr>
          <w:rFonts w:hint="default" w:ascii="Times New Roman" w:hAnsi="Times New Roman" w:eastAsia="宋体" w:cs="Times New Roman"/>
          <w:sz w:val="21"/>
          <w:szCs w:val="21"/>
        </w:rPr>
        <w:t>g</w:t>
      </w:r>
    </w:p>
    <w:p>
      <w:pPr>
        <w:spacing w:line="360" w:lineRule="auto"/>
        <w:ind w:firstLine="422" w:firstLineChars="200"/>
        <w:rPr>
          <w:rFonts w:hint="default" w:ascii="Times New Roman" w:hAnsi="Times New Roman" w:cs="Times New Roman"/>
          <w:szCs w:val="21"/>
        </w:rPr>
      </w:pPr>
      <w:r>
        <w:rPr>
          <w:rFonts w:hint="default" w:ascii="Times New Roman" w:hAnsi="Times New Roman" w:eastAsia="宋体" w:cs="Times New Roman"/>
          <w:b/>
          <w:sz w:val="21"/>
          <w:szCs w:val="21"/>
        </w:rPr>
        <w:t>【</w:t>
      </w:r>
      <w:r>
        <w:rPr>
          <w:rFonts w:hint="default" w:ascii="Times New Roman" w:hAnsi="Times New Roman" w:eastAsia="黑体" w:cs="Times New Roman"/>
          <w:bCs/>
          <w:szCs w:val="21"/>
          <w:lang w:val="en-US" w:eastAsia="zh-CN"/>
        </w:rPr>
        <w:t>贮藏</w:t>
      </w:r>
      <w:r>
        <w:rPr>
          <w:rFonts w:hint="default" w:ascii="Times New Roman" w:hAnsi="Times New Roman" w:eastAsia="宋体" w:cs="Times New Roman"/>
          <w:b/>
          <w:sz w:val="21"/>
          <w:szCs w:val="21"/>
        </w:rPr>
        <w:t xml:space="preserve">】 </w:t>
      </w:r>
      <w:r>
        <w:rPr>
          <w:rFonts w:hint="default" w:ascii="Times New Roman" w:hAnsi="Times New Roman" w:eastAsia="宋体" w:cs="Times New Roman"/>
          <w:b/>
          <w:sz w:val="21"/>
          <w:szCs w:val="21"/>
          <w:lang w:val="en-US" w:eastAsia="zh-CN"/>
        </w:rPr>
        <w:t xml:space="preserve"> </w:t>
      </w:r>
      <w:r>
        <w:rPr>
          <w:rFonts w:hint="default" w:ascii="Times New Roman" w:hAnsi="Times New Roman" w:eastAsia="宋体" w:cs="Times New Roman"/>
          <w:sz w:val="21"/>
          <w:szCs w:val="21"/>
        </w:rPr>
        <w:t>密封。</w:t>
      </w:r>
    </w:p>
    <w:p>
      <w:pPr>
        <w:rPr>
          <w:rFonts w:hint="default" w:ascii="Times New Roman" w:hAnsi="Times New Roman" w:cs="Times New Roman"/>
        </w:rPr>
      </w:pPr>
    </w:p>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方正小标宋简体">
    <w:altName w:val="黑体"/>
    <w:panose1 w:val="02000000000000000000"/>
    <w:charset w:val="86"/>
    <w:family w:val="script"/>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 PAGE   \* MERGEFORMAT </w:instrText>
    </w:r>
    <w:r>
      <w:fldChar w:fldCharType="separate"/>
    </w:r>
    <w:r>
      <w:rPr>
        <w:lang w:val="zh-CN"/>
      </w:rPr>
      <w:t>1</w:t>
    </w:r>
    <w:r>
      <w:fldChar w:fldCharType="end"/>
    </w:r>
  </w:p>
  <w:p>
    <w:pPr>
      <w:pStyle w:val="7"/>
      <w:tabs>
        <w:tab w:val="left" w:pos="6298"/>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rFonts w:hint="eastAsia" w:ascii="方正小标宋简体" w:eastAsia="方正小标宋简体"/>
        <w:sz w:val="28"/>
        <w:szCs w:val="28"/>
      </w:rPr>
      <w:t>广东省中药配方颗粒质量标准公示稿</w:t>
    </w:r>
    <w:r>
      <w:pict>
        <v:shape id="PowerPlusWaterMarkObject359980955" o:spid="_x0000_s4097" o:spt="136" type="#_x0000_t136" style="position:absolute;left:0pt;margin-left:-137.95pt;margin-top:314.1pt;height:40.2pt;width:643.2pt;mso-position-horizontal-relative:margin;mso-position-vertical-relative:margin;rotation:20643840f;z-index:-251657216;mso-width-relative:page;mso-height-relative:page;" fillcolor="#393737" filled="t" stroked="f" coordsize="21600,21600" o:allowincell="f">
          <v:path/>
          <v:fill on="t" opacity="32768f" focussize="0,0"/>
          <v:stroke on="f"/>
          <v:imagedata o:title=""/>
          <o:lock v:ext="edit"/>
          <v:textpath on="t" fitshape="t" fitpath="t" trim="t" xscale="f" string="广东省中药配方颗粒质量标准公示稿" style="font-family:Simsun;font-size:40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5OGYxN2E1MGU4MTU0NDE1NDJmZjAxNjM0NWQzOTkifQ=="/>
  </w:docVars>
  <w:rsids>
    <w:rsidRoot w:val="00C2314A"/>
    <w:rsid w:val="00016DD7"/>
    <w:rsid w:val="00196A9F"/>
    <w:rsid w:val="00237C7D"/>
    <w:rsid w:val="00440387"/>
    <w:rsid w:val="005F21A2"/>
    <w:rsid w:val="00637375"/>
    <w:rsid w:val="006C5299"/>
    <w:rsid w:val="00803098"/>
    <w:rsid w:val="00864721"/>
    <w:rsid w:val="008E3AF9"/>
    <w:rsid w:val="009A2655"/>
    <w:rsid w:val="00C2314A"/>
    <w:rsid w:val="00C81ACD"/>
    <w:rsid w:val="00CA06ED"/>
    <w:rsid w:val="00CF5EEE"/>
    <w:rsid w:val="057A4477"/>
    <w:rsid w:val="06AB4299"/>
    <w:rsid w:val="07AA0E30"/>
    <w:rsid w:val="09DB2371"/>
    <w:rsid w:val="0C051F47"/>
    <w:rsid w:val="0C81144E"/>
    <w:rsid w:val="0D0C3D37"/>
    <w:rsid w:val="0D5406FF"/>
    <w:rsid w:val="0E316755"/>
    <w:rsid w:val="0F2151C2"/>
    <w:rsid w:val="0FAD4111"/>
    <w:rsid w:val="0FFD1D6C"/>
    <w:rsid w:val="11951E4E"/>
    <w:rsid w:val="145C4EA5"/>
    <w:rsid w:val="1531163A"/>
    <w:rsid w:val="153C12AE"/>
    <w:rsid w:val="156850CF"/>
    <w:rsid w:val="1AEA3BF1"/>
    <w:rsid w:val="1CCA3313"/>
    <w:rsid w:val="20780208"/>
    <w:rsid w:val="24B97CA6"/>
    <w:rsid w:val="24C122A9"/>
    <w:rsid w:val="259E5DD9"/>
    <w:rsid w:val="25BF78B5"/>
    <w:rsid w:val="26270419"/>
    <w:rsid w:val="26883666"/>
    <w:rsid w:val="2746360D"/>
    <w:rsid w:val="27537107"/>
    <w:rsid w:val="293318F0"/>
    <w:rsid w:val="29847FAB"/>
    <w:rsid w:val="2BFF2BF2"/>
    <w:rsid w:val="2C032440"/>
    <w:rsid w:val="2F4D7414"/>
    <w:rsid w:val="2F807842"/>
    <w:rsid w:val="31B23EFF"/>
    <w:rsid w:val="331713C3"/>
    <w:rsid w:val="3B847D46"/>
    <w:rsid w:val="3CAA1B80"/>
    <w:rsid w:val="3D1B579A"/>
    <w:rsid w:val="43170066"/>
    <w:rsid w:val="43496BE1"/>
    <w:rsid w:val="43673A70"/>
    <w:rsid w:val="446B516E"/>
    <w:rsid w:val="48E146D9"/>
    <w:rsid w:val="4A5B62F6"/>
    <w:rsid w:val="4BE52332"/>
    <w:rsid w:val="4BF47589"/>
    <w:rsid w:val="4C39659B"/>
    <w:rsid w:val="4E233BAF"/>
    <w:rsid w:val="51FA4DE4"/>
    <w:rsid w:val="54121DDC"/>
    <w:rsid w:val="560B54E2"/>
    <w:rsid w:val="57772233"/>
    <w:rsid w:val="587058F8"/>
    <w:rsid w:val="5A646205"/>
    <w:rsid w:val="5AEA5F7A"/>
    <w:rsid w:val="5AF4613B"/>
    <w:rsid w:val="5E0314BA"/>
    <w:rsid w:val="5E827D91"/>
    <w:rsid w:val="610C7EC1"/>
    <w:rsid w:val="61193EBA"/>
    <w:rsid w:val="61BB53DB"/>
    <w:rsid w:val="653B7D34"/>
    <w:rsid w:val="66557D32"/>
    <w:rsid w:val="6681599C"/>
    <w:rsid w:val="671D35ED"/>
    <w:rsid w:val="68575FAA"/>
    <w:rsid w:val="6A471D40"/>
    <w:rsid w:val="6A9F256B"/>
    <w:rsid w:val="6D3853A1"/>
    <w:rsid w:val="6FEF7AF1"/>
    <w:rsid w:val="70524F5E"/>
    <w:rsid w:val="76A818AB"/>
    <w:rsid w:val="77B03CB5"/>
    <w:rsid w:val="78C22A8A"/>
    <w:rsid w:val="7AF41717"/>
    <w:rsid w:val="7B1B3C72"/>
    <w:rsid w:val="7B4E3717"/>
    <w:rsid w:val="7C6B7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qFormat/>
    <w:uiPriority w:val="0"/>
    <w:pPr>
      <w:keepNext/>
      <w:keepLines/>
      <w:outlineLvl w:val="0"/>
    </w:pPr>
    <w:rPr>
      <w:b/>
      <w:kern w:val="44"/>
      <w:sz w:val="28"/>
    </w:rPr>
  </w:style>
  <w:style w:type="paragraph" w:styleId="3">
    <w:name w:val="heading 2"/>
    <w:basedOn w:val="1"/>
    <w:next w:val="1"/>
    <w:unhideWhenUsed/>
    <w:qFormat/>
    <w:uiPriority w:val="0"/>
    <w:pPr>
      <w:keepNext/>
      <w:keepLines/>
      <w:adjustRightInd w:val="0"/>
      <w:outlineLvl w:val="1"/>
    </w:pPr>
    <w:rPr>
      <w:rFonts w:ascii="Times New Roman" w:hAnsi="Times New Roman" w:cs="Times New Roman"/>
      <w:b/>
      <w:sz w:val="24"/>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unhideWhenUsed/>
    <w:qFormat/>
    <w:uiPriority w:val="0"/>
    <w:pPr>
      <w:spacing w:line="360" w:lineRule="auto"/>
    </w:pPr>
    <w:rPr>
      <w:rFonts w:ascii="Times New Roman" w:hAnsi="Times New Roman"/>
      <w:sz w:val="24"/>
    </w:rPr>
  </w:style>
  <w:style w:type="paragraph" w:styleId="5">
    <w:name w:val="annotation text"/>
    <w:basedOn w:val="1"/>
    <w:link w:val="32"/>
    <w:semiHidden/>
    <w:unhideWhenUsed/>
    <w:qFormat/>
    <w:uiPriority w:val="99"/>
    <w:pPr>
      <w:jc w:val="left"/>
    </w:pPr>
  </w:style>
  <w:style w:type="paragraph" w:styleId="6">
    <w:name w:val="Balloon Text"/>
    <w:basedOn w:val="1"/>
    <w:link w:val="23"/>
    <w:semiHidden/>
    <w:unhideWhenUsed/>
    <w:qFormat/>
    <w:uiPriority w:val="99"/>
    <w:rPr>
      <w:sz w:val="18"/>
      <w:szCs w:val="18"/>
    </w:rPr>
  </w:style>
  <w:style w:type="paragraph" w:styleId="7">
    <w:name w:val="footer"/>
    <w:basedOn w:val="1"/>
    <w:link w:val="22"/>
    <w:unhideWhenUsed/>
    <w:qFormat/>
    <w:uiPriority w:val="99"/>
    <w:pPr>
      <w:tabs>
        <w:tab w:val="center" w:pos="4153"/>
        <w:tab w:val="right" w:pos="8306"/>
      </w:tabs>
      <w:snapToGrid w:val="0"/>
      <w:jc w:val="left"/>
    </w:pPr>
    <w:rPr>
      <w:sz w:val="18"/>
      <w:szCs w:val="18"/>
    </w:rPr>
  </w:style>
  <w:style w:type="paragraph" w:styleId="8">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5"/>
    <w:next w:val="5"/>
    <w:link w:val="33"/>
    <w:semiHidden/>
    <w:unhideWhenUsed/>
    <w:qFormat/>
    <w:uiPriority w:val="99"/>
    <w:rPr>
      <w:b/>
      <w:bCs/>
    </w:rPr>
  </w:style>
  <w:style w:type="table" w:styleId="11">
    <w:name w:val="Table Grid"/>
    <w:basedOn w:val="10"/>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annotation reference"/>
    <w:basedOn w:val="12"/>
    <w:unhideWhenUsed/>
    <w:qFormat/>
    <w:uiPriority w:val="99"/>
    <w:rPr>
      <w:sz w:val="21"/>
      <w:szCs w:val="21"/>
    </w:rPr>
  </w:style>
  <w:style w:type="paragraph" w:customStyle="1" w:styleId="14">
    <w:name w:val="列表段落1"/>
    <w:basedOn w:val="1"/>
    <w:qFormat/>
    <w:uiPriority w:val="34"/>
    <w:pPr>
      <w:ind w:firstLine="420" w:firstLineChars="200"/>
    </w:pPr>
  </w:style>
  <w:style w:type="paragraph" w:customStyle="1" w:styleId="15">
    <w:name w:val="引用1"/>
    <w:basedOn w:val="1"/>
    <w:next w:val="1"/>
    <w:link w:val="24"/>
    <w:qFormat/>
    <w:uiPriority w:val="29"/>
    <w:pPr>
      <w:jc w:val="center"/>
    </w:pPr>
    <w:rPr>
      <w:rFonts w:ascii="Times New Roman" w:hAnsi="Times New Roman"/>
      <w:iCs/>
      <w:color w:val="000000"/>
      <w:sz w:val="18"/>
    </w:rPr>
  </w:style>
  <w:style w:type="paragraph" w:customStyle="1" w:styleId="16">
    <w:name w:val="表格"/>
    <w:basedOn w:val="1"/>
    <w:link w:val="25"/>
    <w:qFormat/>
    <w:uiPriority w:val="0"/>
    <w:pPr>
      <w:jc w:val="center"/>
    </w:pPr>
    <w:rPr>
      <w:rFonts w:ascii="Times New Roman" w:hAnsi="Times New Roman" w:cs="Times New Roman"/>
      <w:sz w:val="18"/>
    </w:rPr>
  </w:style>
  <w:style w:type="paragraph" w:customStyle="1" w:styleId="17">
    <w:name w:val="列出段落1"/>
    <w:basedOn w:val="1"/>
    <w:qFormat/>
    <w:uiPriority w:val="34"/>
    <w:pPr>
      <w:spacing w:line="360" w:lineRule="auto"/>
      <w:ind w:firstLine="420" w:firstLineChars="200"/>
    </w:pPr>
    <w:rPr>
      <w:rFonts w:ascii="Times New Roman" w:hAnsi="Times New Roman"/>
      <w:sz w:val="24"/>
    </w:rPr>
  </w:style>
  <w:style w:type="paragraph" w:customStyle="1" w:styleId="18">
    <w:name w:val="引用11"/>
    <w:basedOn w:val="1"/>
    <w:next w:val="1"/>
    <w:qFormat/>
    <w:uiPriority w:val="29"/>
    <w:pPr>
      <w:adjustRightInd w:val="0"/>
      <w:snapToGrid w:val="0"/>
      <w:jc w:val="center"/>
    </w:pPr>
    <w:rPr>
      <w:rFonts w:ascii="Times New Roman" w:hAnsi="Times New Roman"/>
      <w:iCs/>
      <w:color w:val="000000"/>
      <w:sz w:val="18"/>
    </w:rPr>
  </w:style>
  <w:style w:type="paragraph" w:customStyle="1" w:styleId="19">
    <w:name w:val="无间隔1"/>
    <w:qFormat/>
    <w:uiPriority w:val="1"/>
    <w:pPr>
      <w:widowControl w:val="0"/>
      <w:jc w:val="center"/>
    </w:pPr>
    <w:rPr>
      <w:rFonts w:ascii="Times New Roman" w:hAnsi="Times New Roman" w:eastAsia="宋体" w:cs="黑体"/>
      <w:kern w:val="2"/>
      <w:sz w:val="21"/>
      <w:szCs w:val="22"/>
      <w:lang w:val="en-US" w:eastAsia="zh-CN" w:bidi="ar-SA"/>
    </w:rPr>
  </w:style>
  <w:style w:type="paragraph" w:customStyle="1" w:styleId="20">
    <w:name w:val="黑体字"/>
    <w:basedOn w:val="1"/>
    <w:link w:val="30"/>
    <w:qFormat/>
    <w:uiPriority w:val="0"/>
    <w:pPr>
      <w:ind w:firstLine="413" w:firstLineChars="196"/>
    </w:pPr>
    <w:rPr>
      <w:rFonts w:ascii="黑体" w:hAnsi="黑体" w:eastAsia="黑体" w:cs="Times New Roman"/>
      <w:b/>
      <w:kern w:val="0"/>
      <w:sz w:val="20"/>
      <w:szCs w:val="24"/>
    </w:rPr>
  </w:style>
  <w:style w:type="character" w:customStyle="1" w:styleId="21">
    <w:name w:val="页眉 Char"/>
    <w:link w:val="8"/>
    <w:qFormat/>
    <w:uiPriority w:val="99"/>
    <w:rPr>
      <w:sz w:val="18"/>
      <w:szCs w:val="18"/>
    </w:rPr>
  </w:style>
  <w:style w:type="character" w:customStyle="1" w:styleId="22">
    <w:name w:val="页脚 Char"/>
    <w:link w:val="7"/>
    <w:qFormat/>
    <w:uiPriority w:val="99"/>
    <w:rPr>
      <w:sz w:val="18"/>
      <w:szCs w:val="18"/>
    </w:rPr>
  </w:style>
  <w:style w:type="character" w:customStyle="1" w:styleId="23">
    <w:name w:val="批注框文本 Char"/>
    <w:link w:val="6"/>
    <w:semiHidden/>
    <w:qFormat/>
    <w:uiPriority w:val="99"/>
    <w:rPr>
      <w:sz w:val="18"/>
      <w:szCs w:val="18"/>
    </w:rPr>
  </w:style>
  <w:style w:type="character" w:customStyle="1" w:styleId="24">
    <w:name w:val="引用 Char"/>
    <w:link w:val="15"/>
    <w:qFormat/>
    <w:uiPriority w:val="29"/>
    <w:rPr>
      <w:rFonts w:ascii="Times New Roman" w:hAnsi="Times New Roman" w:eastAsia="宋体"/>
      <w:iCs/>
      <w:color w:val="000000"/>
      <w:sz w:val="18"/>
    </w:rPr>
  </w:style>
  <w:style w:type="character" w:customStyle="1" w:styleId="25">
    <w:name w:val="表格 Char"/>
    <w:link w:val="16"/>
    <w:qFormat/>
    <w:uiPriority w:val="0"/>
    <w:rPr>
      <w:rFonts w:ascii="Times New Roman" w:hAnsi="Times New Roman" w:eastAsia="宋体" w:cs="Times New Roman"/>
      <w:sz w:val="18"/>
    </w:rPr>
  </w:style>
  <w:style w:type="character" w:customStyle="1" w:styleId="26">
    <w:name w:val="font31"/>
    <w:qFormat/>
    <w:uiPriority w:val="0"/>
    <w:rPr>
      <w:rFonts w:hint="default" w:ascii="Times New Roman" w:hAnsi="Times New Roman" w:cs="Times New Roman"/>
      <w:color w:val="000000"/>
      <w:sz w:val="22"/>
      <w:szCs w:val="22"/>
      <w:u w:val="none"/>
    </w:rPr>
  </w:style>
  <w:style w:type="character" w:customStyle="1" w:styleId="27">
    <w:name w:val="font21"/>
    <w:qFormat/>
    <w:uiPriority w:val="0"/>
    <w:rPr>
      <w:rFonts w:hint="default" w:ascii="Times New Roman" w:hAnsi="Times New Roman" w:cs="Times New Roman"/>
      <w:color w:val="FF0000"/>
      <w:sz w:val="22"/>
      <w:szCs w:val="22"/>
      <w:u w:val="none"/>
    </w:rPr>
  </w:style>
  <w:style w:type="character" w:customStyle="1" w:styleId="28">
    <w:name w:val="font11"/>
    <w:qFormat/>
    <w:uiPriority w:val="0"/>
    <w:rPr>
      <w:rFonts w:hint="default" w:ascii="Times New Roman" w:hAnsi="Times New Roman" w:cs="Times New Roman"/>
      <w:color w:val="000000"/>
      <w:sz w:val="18"/>
      <w:szCs w:val="18"/>
      <w:u w:val="none"/>
    </w:rPr>
  </w:style>
  <w:style w:type="character" w:customStyle="1" w:styleId="29">
    <w:name w:val="font01"/>
    <w:basedOn w:val="12"/>
    <w:qFormat/>
    <w:uiPriority w:val="0"/>
    <w:rPr>
      <w:rFonts w:hint="eastAsia" w:ascii="宋体" w:hAnsi="宋体" w:eastAsia="宋体" w:cs="宋体"/>
      <w:color w:val="000000"/>
      <w:sz w:val="18"/>
      <w:szCs w:val="18"/>
      <w:u w:val="none"/>
    </w:rPr>
  </w:style>
  <w:style w:type="character" w:customStyle="1" w:styleId="30">
    <w:name w:val="黑体字 Char"/>
    <w:link w:val="20"/>
    <w:qFormat/>
    <w:uiPriority w:val="0"/>
    <w:rPr>
      <w:rFonts w:ascii="黑体" w:hAnsi="黑体" w:eastAsia="黑体" w:cs="Times New Roman"/>
      <w:b/>
      <w:kern w:val="0"/>
      <w:sz w:val="20"/>
      <w:szCs w:val="24"/>
    </w:rPr>
  </w:style>
  <w:style w:type="paragraph" w:customStyle="1" w:styleId="31">
    <w:name w:val="修订1"/>
    <w:hidden/>
    <w:semiHidden/>
    <w:qFormat/>
    <w:uiPriority w:val="99"/>
    <w:rPr>
      <w:rFonts w:ascii="Calibri" w:hAnsi="Calibri" w:eastAsia="宋体" w:cs="黑体"/>
      <w:kern w:val="2"/>
      <w:sz w:val="21"/>
      <w:szCs w:val="22"/>
      <w:lang w:val="en-US" w:eastAsia="zh-CN" w:bidi="ar-SA"/>
    </w:rPr>
  </w:style>
  <w:style w:type="character" w:customStyle="1" w:styleId="32">
    <w:name w:val="批注文字 Char"/>
    <w:basedOn w:val="12"/>
    <w:link w:val="5"/>
    <w:semiHidden/>
    <w:qFormat/>
    <w:uiPriority w:val="99"/>
    <w:rPr>
      <w:rFonts w:ascii="Calibri" w:hAnsi="Calibri" w:cs="黑体"/>
      <w:kern w:val="2"/>
      <w:sz w:val="21"/>
      <w:szCs w:val="22"/>
    </w:rPr>
  </w:style>
  <w:style w:type="character" w:customStyle="1" w:styleId="33">
    <w:name w:val="批注主题 Char"/>
    <w:basedOn w:val="32"/>
    <w:link w:val="9"/>
    <w:semiHidden/>
    <w:qFormat/>
    <w:uiPriority w:val="99"/>
    <w:rPr>
      <w:rFonts w:ascii="Calibri" w:hAnsi="Calibri" w:cs="黑体"/>
      <w:b/>
      <w:bCs/>
      <w:kern w:val="2"/>
      <w:sz w:val="21"/>
      <w:szCs w:val="22"/>
    </w:rPr>
  </w:style>
  <w:style w:type="paragraph" w:styleId="34">
    <w:name w:val="List Paragraph"/>
    <w:basedOn w:val="1"/>
    <w:qFormat/>
    <w:uiPriority w:val="34"/>
    <w:pPr>
      <w:spacing w:line="360" w:lineRule="auto"/>
      <w:ind w:firstLine="420" w:firstLineChars="200"/>
    </w:pPr>
  </w:style>
  <w:style w:type="paragraph" w:customStyle="1" w:styleId="35">
    <w:name w:val="样式3"/>
    <w:basedOn w:val="1"/>
    <w:qFormat/>
    <w:uiPriority w:val="0"/>
    <w:pPr>
      <w:jc w:val="center"/>
    </w:pPr>
    <w:rPr>
      <w:sz w:val="18"/>
      <w:szCs w:val="21"/>
    </w:rPr>
  </w:style>
  <w:style w:type="character" w:customStyle="1" w:styleId="36">
    <w:name w:val="font51"/>
    <w:basedOn w:val="12"/>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3667</Words>
  <Characters>5234</Characters>
  <Lines>39</Lines>
  <Paragraphs>11</Paragraphs>
  <TotalTime>5</TotalTime>
  <ScaleCrop>false</ScaleCrop>
  <LinksUpToDate>false</LinksUpToDate>
  <CharactersWithSpaces>5287</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2020-03-31T12:04:00Z</dcterms:created>
  <dc:creator>李振雨</dc:creator>
  <cp:lastModifiedBy>admin</cp:lastModifiedBy>
  <cp:lastPrinted>2020-08-08T02:52:00Z</cp:lastPrinted>
  <dcterms:modified xsi:type="dcterms:W3CDTF">2023-01-19T03:22:31Z</dcterms:modified>
  <dc:title>卷柏（垫状卷柏）配方颗粒质量标准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1317A2B969834DB8B914C926FB8D2090</vt:lpwstr>
  </property>
</Properties>
</file>