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imes New Roman" w:hAnsi="Times New Roman" w:eastAsia="黑体" w:cs="Times New Roman"/>
          <w:bCs/>
          <w:sz w:val="28"/>
          <w:szCs w:val="28"/>
          <w:lang w:eastAsia="zh-CN"/>
        </w:rPr>
      </w:pPr>
    </w:p>
    <w:p>
      <w:pPr>
        <w:keepNext w:val="0"/>
        <w:keepLines w:val="0"/>
        <w:pageBreakBefore w:val="0"/>
        <w:widowControl w:val="0"/>
        <w:kinsoku/>
        <w:wordWrap/>
        <w:overflowPunct/>
        <w:topLinePunct w:val="0"/>
        <w:autoSpaceDE/>
        <w:autoSpaceDN/>
        <w:bidi w:val="0"/>
        <w:snapToGrid w:val="0"/>
        <w:spacing w:line="360" w:lineRule="auto"/>
        <w:jc w:val="center"/>
        <w:textAlignment w:val="auto"/>
        <w:rPr>
          <w:rFonts w:ascii="黑体" w:hAnsi="黑体" w:eastAsia="黑体" w:cs="Times"/>
          <w:sz w:val="28"/>
          <w:szCs w:val="28"/>
        </w:rPr>
      </w:pPr>
      <w:r>
        <w:rPr>
          <w:rFonts w:ascii="黑体" w:hAnsi="黑体" w:eastAsia="黑体" w:cs="Times"/>
          <w:sz w:val="28"/>
          <w:szCs w:val="28"/>
        </w:rPr>
        <w:t>炒麦芽配方颗粒</w:t>
      </w:r>
    </w:p>
    <w:p>
      <w:pPr>
        <w:keepNext w:val="0"/>
        <w:keepLines w:val="0"/>
        <w:pageBreakBefore w:val="0"/>
        <w:widowControl w:val="0"/>
        <w:kinsoku/>
        <w:wordWrap/>
        <w:overflowPunct/>
        <w:topLinePunct w:val="0"/>
        <w:autoSpaceDE/>
        <w:autoSpaceDN/>
        <w:bidi w:val="0"/>
        <w:snapToGrid w:val="0"/>
        <w:spacing w:line="360" w:lineRule="auto"/>
        <w:jc w:val="center"/>
        <w:textAlignment w:val="auto"/>
        <w:rPr>
          <w:rFonts w:ascii="Times New Roman" w:hAnsi="Times New Roman" w:eastAsia="宋体"/>
          <w:sz w:val="24"/>
          <w:szCs w:val="24"/>
        </w:rPr>
      </w:pPr>
      <w:r>
        <w:rPr>
          <w:rFonts w:ascii="Times New Roman" w:hAnsi="Times New Roman" w:eastAsia="宋体"/>
          <w:sz w:val="24"/>
          <w:szCs w:val="24"/>
        </w:rPr>
        <w:t>Chaomaiya Peifangkeli</w:t>
      </w:r>
    </w:p>
    <w:p>
      <w:pPr>
        <w:keepNext w:val="0"/>
        <w:keepLines w:val="0"/>
        <w:pageBreakBefore w:val="0"/>
        <w:widowControl w:val="0"/>
        <w:kinsoku/>
        <w:wordWrap/>
        <w:overflowPunct/>
        <w:topLinePunct w:val="0"/>
        <w:autoSpaceDE/>
        <w:autoSpaceDN/>
        <w:bidi w:val="0"/>
        <w:snapToGrid w:val="0"/>
        <w:spacing w:line="360" w:lineRule="auto"/>
        <w:jc w:val="center"/>
        <w:textAlignment w:val="auto"/>
        <w:rPr>
          <w:rFonts w:ascii="Times New Roman" w:hAnsi="Times New Roman" w:eastAsia="宋体"/>
          <w:sz w:val="24"/>
          <w:szCs w:val="24"/>
        </w:rPr>
      </w:pP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ascii="Times New Roman" w:hAnsi="Times New Roman" w:eastAsia="宋体"/>
          <w:szCs w:val="21"/>
        </w:rPr>
      </w:pPr>
      <w:r>
        <w:rPr>
          <w:rFonts w:ascii="黑体" w:hAnsi="黑体" w:eastAsia="黑体" w:cs="Times"/>
          <w:szCs w:val="21"/>
        </w:rPr>
        <w:t>【来源】</w:t>
      </w:r>
      <w:r>
        <w:rPr>
          <w:rFonts w:hint="eastAsia" w:ascii="黑体" w:hAnsi="黑体" w:eastAsia="黑体" w:cs="Times"/>
          <w:szCs w:val="21"/>
        </w:rPr>
        <w:t xml:space="preserve"> </w:t>
      </w:r>
      <w:r>
        <w:rPr>
          <w:rFonts w:ascii="黑体" w:hAnsi="黑体" w:eastAsia="黑体" w:cs="Times"/>
          <w:szCs w:val="21"/>
        </w:rPr>
        <w:t xml:space="preserve"> </w:t>
      </w:r>
      <w:r>
        <w:rPr>
          <w:rFonts w:ascii="Times New Roman" w:hAnsi="Times New Roman" w:eastAsia="宋体"/>
          <w:szCs w:val="21"/>
        </w:rPr>
        <w:t>本品为禾本科植物大麦</w:t>
      </w:r>
      <w:r>
        <w:rPr>
          <w:rFonts w:ascii="Times New Roman" w:hAnsi="Times New Roman" w:eastAsia="宋体"/>
          <w:i/>
          <w:szCs w:val="21"/>
        </w:rPr>
        <w:t xml:space="preserve">Hordeum vulgare </w:t>
      </w:r>
      <w:r>
        <w:rPr>
          <w:rFonts w:ascii="Times New Roman" w:hAnsi="Times New Roman" w:eastAsia="宋体"/>
          <w:szCs w:val="21"/>
        </w:rPr>
        <w:t>L</w:t>
      </w:r>
      <w:r>
        <w:rPr>
          <w:rFonts w:ascii="Times New Roman" w:hAnsi="Times New Roman" w:eastAsia="宋体"/>
          <w:i/>
          <w:szCs w:val="21"/>
        </w:rPr>
        <w:t>.</w:t>
      </w:r>
      <w:r>
        <w:rPr>
          <w:rFonts w:ascii="Times New Roman" w:hAnsi="Times New Roman" w:eastAsia="宋体"/>
          <w:szCs w:val="21"/>
        </w:rPr>
        <w:t>的成熟果实经发芽干燥的炮制加工品经炮制并按标准汤剂的主要质量指标加工制成的配方颗粒。</w:t>
      </w:r>
    </w:p>
    <w:p>
      <w:pPr>
        <w:keepNext w:val="0"/>
        <w:keepLines w:val="0"/>
        <w:pageBreakBefore w:val="0"/>
        <w:widowControl w:val="0"/>
        <w:kinsoku/>
        <w:wordWrap/>
        <w:overflowPunct/>
        <w:topLinePunct w:val="0"/>
        <w:autoSpaceDE/>
        <w:autoSpaceDN/>
        <w:bidi w:val="0"/>
        <w:snapToGrid w:val="0"/>
        <w:spacing w:line="360" w:lineRule="auto"/>
        <w:ind w:firstLine="315" w:firstLineChars="150"/>
        <w:textAlignment w:val="auto"/>
        <w:rPr>
          <w:rFonts w:ascii="Times New Roman" w:hAnsi="Times New Roman" w:eastAsia="宋体"/>
          <w:szCs w:val="21"/>
        </w:rPr>
      </w:pPr>
      <w:r>
        <w:rPr>
          <w:rFonts w:ascii="黑体" w:hAnsi="黑体" w:eastAsia="黑体" w:cs="Times"/>
          <w:szCs w:val="21"/>
        </w:rPr>
        <w:t>【制法】</w:t>
      </w:r>
      <w:r>
        <w:rPr>
          <w:rFonts w:hint="eastAsia" w:ascii="黑体" w:hAnsi="黑体" w:eastAsia="黑体" w:cs="Times"/>
          <w:szCs w:val="21"/>
        </w:rPr>
        <w:t xml:space="preserve"> </w:t>
      </w:r>
      <w:r>
        <w:rPr>
          <w:rFonts w:ascii="黑体" w:hAnsi="黑体" w:eastAsia="黑体" w:cs="Times"/>
          <w:szCs w:val="21"/>
        </w:rPr>
        <w:t xml:space="preserve"> </w:t>
      </w:r>
      <w:r>
        <w:rPr>
          <w:rFonts w:ascii="Times New Roman" w:hAnsi="Times New Roman" w:eastAsia="宋体"/>
          <w:szCs w:val="21"/>
        </w:rPr>
        <w:t>取炒麦芽饮片10000g，加水煎煮，滤过，滤液浓缩成清膏（干浸膏出膏率为5%~9%），加</w:t>
      </w:r>
      <w:r>
        <w:rPr>
          <w:rFonts w:hint="eastAsia" w:ascii="Times New Roman" w:hAnsi="Times New Roman" w:eastAsia="宋体"/>
          <w:szCs w:val="21"/>
        </w:rPr>
        <w:t>入</w:t>
      </w:r>
      <w:r>
        <w:rPr>
          <w:rFonts w:ascii="Times New Roman" w:hAnsi="Times New Roman" w:eastAsia="宋体"/>
          <w:szCs w:val="21"/>
        </w:rPr>
        <w:t>辅料适量，干燥（或干燥，粉碎），</w:t>
      </w:r>
      <w:r>
        <w:rPr>
          <w:rFonts w:hint="eastAsia" w:ascii="Times New Roman" w:hAnsi="Times New Roman" w:eastAsia="宋体"/>
          <w:szCs w:val="21"/>
          <w:lang w:val="en-US" w:eastAsia="zh-CN"/>
        </w:rPr>
        <w:t>再</w:t>
      </w:r>
      <w:r>
        <w:rPr>
          <w:rFonts w:ascii="Times New Roman" w:hAnsi="Times New Roman" w:eastAsia="宋体"/>
          <w:szCs w:val="21"/>
        </w:rPr>
        <w:t>加</w:t>
      </w:r>
      <w:r>
        <w:rPr>
          <w:rFonts w:hint="eastAsia" w:ascii="Times New Roman" w:hAnsi="Times New Roman" w:eastAsia="宋体"/>
          <w:szCs w:val="21"/>
        </w:rPr>
        <w:t>入</w:t>
      </w:r>
      <w:r>
        <w:rPr>
          <w:rFonts w:ascii="Times New Roman" w:hAnsi="Times New Roman" w:eastAsia="宋体"/>
          <w:szCs w:val="21"/>
        </w:rPr>
        <w:t>辅料适量，混匀，制粒，制成1000g，即得。</w:t>
      </w:r>
    </w:p>
    <w:p>
      <w:pPr>
        <w:keepNext w:val="0"/>
        <w:keepLines w:val="0"/>
        <w:pageBreakBefore w:val="0"/>
        <w:widowControl w:val="0"/>
        <w:kinsoku/>
        <w:wordWrap/>
        <w:overflowPunct/>
        <w:topLinePunct w:val="0"/>
        <w:autoSpaceDE/>
        <w:autoSpaceDN/>
        <w:bidi w:val="0"/>
        <w:snapToGrid w:val="0"/>
        <w:spacing w:line="360" w:lineRule="auto"/>
        <w:ind w:firstLine="420" w:firstLineChars="200"/>
        <w:jc w:val="left"/>
        <w:textAlignment w:val="auto"/>
        <w:rPr>
          <w:rFonts w:ascii="Times New Roman" w:hAnsi="Times New Roman" w:eastAsia="宋体"/>
          <w:szCs w:val="21"/>
        </w:rPr>
      </w:pPr>
      <w:r>
        <w:rPr>
          <w:rFonts w:ascii="黑体" w:hAnsi="黑体" w:eastAsia="黑体" w:cs="Times"/>
          <w:szCs w:val="21"/>
        </w:rPr>
        <w:t>【性状】</w:t>
      </w:r>
      <w:r>
        <w:rPr>
          <w:rFonts w:hint="eastAsia" w:ascii="黑体" w:hAnsi="黑体" w:eastAsia="黑体" w:cs="Times"/>
          <w:szCs w:val="21"/>
        </w:rPr>
        <w:t xml:space="preserve"> </w:t>
      </w:r>
      <w:r>
        <w:rPr>
          <w:rFonts w:ascii="黑体" w:hAnsi="黑体" w:eastAsia="黑体" w:cs="Times"/>
          <w:szCs w:val="21"/>
        </w:rPr>
        <w:t xml:space="preserve"> </w:t>
      </w:r>
      <w:r>
        <w:rPr>
          <w:rFonts w:ascii="Times New Roman" w:hAnsi="Times New Roman" w:eastAsia="宋体"/>
          <w:szCs w:val="21"/>
        </w:rPr>
        <w:t>本品为浅灰黄色至棕黄色的颗粒；气微，味微甘。</w:t>
      </w:r>
    </w:p>
    <w:p>
      <w:pPr>
        <w:keepNext w:val="0"/>
        <w:keepLines w:val="0"/>
        <w:pageBreakBefore w:val="0"/>
        <w:widowControl w:val="0"/>
        <w:kinsoku/>
        <w:wordWrap/>
        <w:overflowPunct/>
        <w:topLinePunct w:val="0"/>
        <w:autoSpaceDE/>
        <w:autoSpaceDN/>
        <w:bidi w:val="0"/>
        <w:snapToGrid w:val="0"/>
        <w:spacing w:line="360" w:lineRule="auto"/>
        <w:ind w:firstLine="420" w:firstLineChars="200"/>
        <w:jc w:val="left"/>
        <w:textAlignment w:val="auto"/>
        <w:rPr>
          <w:rFonts w:ascii="Times New Roman" w:hAnsi="Times New Roman" w:eastAsia="宋体"/>
          <w:szCs w:val="21"/>
        </w:rPr>
      </w:pPr>
      <w:r>
        <w:rPr>
          <w:rFonts w:ascii="黑体" w:hAnsi="黑体" w:eastAsia="黑体" w:cs="Times"/>
          <w:szCs w:val="21"/>
        </w:rPr>
        <w:t>【鉴别】</w:t>
      </w:r>
      <w:r>
        <w:rPr>
          <w:rFonts w:hint="eastAsia" w:ascii="黑体" w:hAnsi="黑体" w:eastAsia="黑体" w:cs="Times"/>
          <w:szCs w:val="21"/>
        </w:rPr>
        <w:t xml:space="preserve"> </w:t>
      </w:r>
      <w:r>
        <w:rPr>
          <w:rFonts w:ascii="黑体" w:hAnsi="黑体" w:eastAsia="黑体" w:cs="Times"/>
          <w:szCs w:val="21"/>
        </w:rPr>
        <w:t xml:space="preserve"> </w:t>
      </w:r>
      <w:r>
        <w:rPr>
          <w:rFonts w:ascii="Times New Roman" w:hAnsi="Times New Roman" w:eastAsia="宋体"/>
          <w:szCs w:val="21"/>
        </w:rPr>
        <w:t>取本品</w:t>
      </w:r>
      <w:r>
        <w:rPr>
          <w:rFonts w:hint="eastAsia" w:ascii="Times New Roman" w:hAnsi="Times New Roman" w:eastAsia="宋体"/>
          <w:szCs w:val="21"/>
          <w:lang w:val="en-US" w:eastAsia="zh-CN"/>
        </w:rPr>
        <w:t>适量，研细，取</w:t>
      </w:r>
      <w:r>
        <w:rPr>
          <w:rFonts w:ascii="Times New Roman" w:hAnsi="Times New Roman" w:eastAsia="宋体"/>
          <w:szCs w:val="21"/>
        </w:rPr>
        <w:t>10g，加无水乙醇30ml，超声处理40分钟，滤过，滤液加50%氢氧化钾溶液3ml，加热回流15分钟，置冰水浴中冷却5分钟，用石油醚（30～60℃）振摇提取3次，每次10ml，合并石油醚液，挥干，残渣加乙酸乙酯1ml使溶解，作为供试品溶液。另取麦芽对照药材5g，加无水乙醇30ml，同法制成对照药材溶液。照薄层色谱法（中国药典2020年版通则0502）试验，吸取供试品溶液15µl，对照药材溶液3µl，分别点于同一硅胶G薄层板上，以甲苯-三氯甲烷-乙酸乙酯（10：10：2）为展开剂，展开，取出，晾干，以甲苯-三氯甲烷-乙酸乙酯（10：10：1）为展开剂，展开，取出，晾干，喷以15%硝酸乙醇溶液，在100℃加热至斑点显色清晰，置紫外光灯（365nm）下检视。供试品色谱中，在与对照药材色谱相应的位置上，显相同颜色的荧光斑点。</w:t>
      </w:r>
    </w:p>
    <w:p>
      <w:pPr>
        <w:keepNext w:val="0"/>
        <w:keepLines w:val="0"/>
        <w:pageBreakBefore w:val="0"/>
        <w:widowControl w:val="0"/>
        <w:kinsoku/>
        <w:wordWrap/>
        <w:overflowPunct/>
        <w:topLinePunct w:val="0"/>
        <w:autoSpaceDE/>
        <w:autoSpaceDN/>
        <w:bidi w:val="0"/>
        <w:snapToGrid w:val="0"/>
        <w:spacing w:line="360" w:lineRule="auto"/>
        <w:ind w:firstLine="420" w:firstLineChars="200"/>
        <w:jc w:val="left"/>
        <w:textAlignment w:val="auto"/>
        <w:rPr>
          <w:rFonts w:ascii="Times New Roman" w:hAnsi="Times New Roman" w:eastAsia="宋体"/>
          <w:szCs w:val="21"/>
        </w:rPr>
      </w:pPr>
      <w:r>
        <w:rPr>
          <w:rFonts w:ascii="黑体" w:hAnsi="黑体" w:eastAsia="黑体" w:cs="Times"/>
          <w:szCs w:val="21"/>
        </w:rPr>
        <w:t>【特征图谱】</w:t>
      </w:r>
      <w:r>
        <w:rPr>
          <w:rFonts w:hint="eastAsia" w:ascii="黑体" w:hAnsi="黑体" w:eastAsia="黑体" w:cs="Times"/>
          <w:szCs w:val="21"/>
        </w:rPr>
        <w:t xml:space="preserve"> </w:t>
      </w:r>
      <w:r>
        <w:rPr>
          <w:rFonts w:ascii="黑体" w:hAnsi="黑体" w:eastAsia="黑体" w:cs="Times"/>
          <w:szCs w:val="21"/>
        </w:rPr>
        <w:t xml:space="preserve"> </w:t>
      </w:r>
      <w:r>
        <w:rPr>
          <w:rFonts w:ascii="Times New Roman" w:hAnsi="Times New Roman" w:eastAsia="宋体"/>
          <w:szCs w:val="21"/>
        </w:rPr>
        <w:t>照高效液相色谱法（中国药典2020年版 通则0512）测定。</w:t>
      </w:r>
    </w:p>
    <w:tbl>
      <w:tblPr>
        <w:tblStyle w:val="8"/>
        <w:tblpPr w:leftFromText="180" w:rightFromText="180" w:vertAnchor="text" w:horzAnchor="page" w:tblpX="1806" w:tblpY="1634"/>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0"/>
        <w:gridCol w:w="2766"/>
        <w:gridCol w:w="3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449" w:type="pct"/>
            <w:tcBorders>
              <w:left w:val="nil"/>
              <w:bottom w:val="single" w:color="auto" w:sz="4" w:space="0"/>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时间（分钟）</w:t>
            </w:r>
          </w:p>
        </w:tc>
        <w:tc>
          <w:tcPr>
            <w:tcW w:w="1622" w:type="pct"/>
            <w:tcBorders>
              <w:left w:val="nil"/>
              <w:bottom w:val="single" w:color="auto" w:sz="4" w:space="0"/>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流动相A（%）</w:t>
            </w:r>
          </w:p>
        </w:tc>
        <w:tc>
          <w:tcPr>
            <w:tcW w:w="1927" w:type="pct"/>
            <w:tcBorders>
              <w:left w:val="nil"/>
              <w:bottom w:val="single" w:color="auto" w:sz="4" w:space="0"/>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流动相B（%）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449" w:type="pct"/>
            <w:tcBorders>
              <w:top w:val="single" w:color="auto" w:sz="4" w:space="0"/>
              <w:left w:val="nil"/>
              <w:bottom w:val="nil"/>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0~5</w:t>
            </w:r>
          </w:p>
        </w:tc>
        <w:tc>
          <w:tcPr>
            <w:tcW w:w="1622" w:type="pct"/>
            <w:tcBorders>
              <w:top w:val="single" w:color="auto" w:sz="4" w:space="0"/>
              <w:left w:val="nil"/>
              <w:bottom w:val="nil"/>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0</w:t>
            </w:r>
          </w:p>
        </w:tc>
        <w:tc>
          <w:tcPr>
            <w:tcW w:w="1927" w:type="pct"/>
            <w:tcBorders>
              <w:top w:val="single" w:color="auto" w:sz="4" w:space="0"/>
              <w:left w:val="nil"/>
              <w:bottom w:val="nil"/>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449" w:type="pct"/>
            <w:tcBorders>
              <w:top w:val="nil"/>
              <w:left w:val="nil"/>
              <w:bottom w:val="nil"/>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5~10</w:t>
            </w:r>
          </w:p>
        </w:tc>
        <w:tc>
          <w:tcPr>
            <w:tcW w:w="1622" w:type="pct"/>
            <w:tcBorders>
              <w:top w:val="nil"/>
              <w:left w:val="nil"/>
              <w:bottom w:val="nil"/>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0→3</w:t>
            </w:r>
          </w:p>
        </w:tc>
        <w:tc>
          <w:tcPr>
            <w:tcW w:w="1927" w:type="pct"/>
            <w:tcBorders>
              <w:top w:val="nil"/>
              <w:left w:val="nil"/>
              <w:bottom w:val="nil"/>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100→97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449" w:type="pct"/>
            <w:tcBorders>
              <w:top w:val="nil"/>
              <w:left w:val="nil"/>
              <w:bottom w:val="nil"/>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10~20</w:t>
            </w:r>
          </w:p>
        </w:tc>
        <w:tc>
          <w:tcPr>
            <w:tcW w:w="1622" w:type="pct"/>
            <w:tcBorders>
              <w:top w:val="nil"/>
              <w:left w:val="nil"/>
              <w:bottom w:val="nil"/>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3→5</w:t>
            </w:r>
          </w:p>
        </w:tc>
        <w:tc>
          <w:tcPr>
            <w:tcW w:w="1927" w:type="pct"/>
            <w:tcBorders>
              <w:top w:val="nil"/>
              <w:left w:val="nil"/>
              <w:bottom w:val="nil"/>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97→95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449" w:type="pct"/>
            <w:tcBorders>
              <w:top w:val="nil"/>
              <w:left w:val="nil"/>
              <w:bottom w:val="single" w:color="auto" w:sz="4" w:space="0"/>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20~30</w:t>
            </w:r>
          </w:p>
        </w:tc>
        <w:tc>
          <w:tcPr>
            <w:tcW w:w="1622" w:type="pct"/>
            <w:tcBorders>
              <w:top w:val="nil"/>
              <w:left w:val="nil"/>
              <w:bottom w:val="single" w:color="auto" w:sz="4" w:space="0"/>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5→22</w:t>
            </w:r>
          </w:p>
        </w:tc>
        <w:tc>
          <w:tcPr>
            <w:tcW w:w="1927" w:type="pct"/>
            <w:tcBorders>
              <w:top w:val="nil"/>
              <w:left w:val="nil"/>
              <w:bottom w:val="single" w:color="auto" w:sz="4" w:space="0"/>
              <w:right w:val="nil"/>
            </w:tcBorders>
            <w:vAlign w:val="center"/>
          </w:tcPr>
          <w:p>
            <w:pPr>
              <w:spacing w:line="360" w:lineRule="auto"/>
              <w:jc w:val="center"/>
              <w:rPr>
                <w:rFonts w:ascii="Times New Roman" w:hAnsi="Times New Roman" w:eastAsia="宋体"/>
                <w:szCs w:val="21"/>
              </w:rPr>
            </w:pPr>
            <w:r>
              <w:rPr>
                <w:rFonts w:ascii="Times New Roman" w:hAnsi="Times New Roman" w:eastAsia="宋体"/>
                <w:szCs w:val="21"/>
              </w:rPr>
              <w:t>95→78</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Times New Roman" w:hAnsi="Times New Roman" w:eastAsia="宋体"/>
          <w:szCs w:val="21"/>
        </w:rPr>
      </w:pPr>
      <w:r>
        <w:rPr>
          <w:rFonts w:ascii="黑体" w:hAnsi="黑体" w:eastAsia="黑体" w:cs="Times"/>
          <w:szCs w:val="21"/>
        </w:rPr>
        <w:t>色谱条件与系统适用性试验</w:t>
      </w:r>
      <w:r>
        <w:rPr>
          <w:rFonts w:ascii="Times New Roman" w:hAnsi="Times New Roman" w:eastAsia="宋体"/>
          <w:szCs w:val="21"/>
        </w:rPr>
        <w:t xml:space="preserve">  以十八烷基硅烷键合硅胶为填充剂（</w:t>
      </w:r>
      <w:r>
        <w:rPr>
          <w:rFonts w:ascii="Times New Roman" w:hAnsi="Times New Roman" w:eastAsia="宋体"/>
          <w:bCs/>
          <w:szCs w:val="21"/>
        </w:rPr>
        <w:t>柱长为150mm，内径为2.1mm，粒径为1.8µm）</w:t>
      </w:r>
      <w:r>
        <w:rPr>
          <w:rFonts w:ascii="Times New Roman" w:hAnsi="Times New Roman" w:eastAsia="宋体"/>
          <w:szCs w:val="21"/>
        </w:rPr>
        <w:t>；以甲醇为流动相A，以0.08mol/L磷酸二氢钾溶液（用10%磷酸调节pH值至3.50）为流动相B，按下表中的规定进行梯度洗脱；</w:t>
      </w:r>
      <w:r>
        <w:rPr>
          <w:rFonts w:ascii="Times New Roman" w:hAnsi="Times New Roman" w:eastAsia="宋体"/>
          <w:szCs w:val="21"/>
        </w:rPr>
        <w:t>流速为每分钟0.2ml</w:t>
      </w:r>
      <w:r>
        <w:rPr>
          <w:rFonts w:hint="eastAsia" w:ascii="Times New Roman" w:hAnsi="Times New Roman" w:eastAsia="宋体"/>
          <w:szCs w:val="21"/>
          <w:lang w:eastAsia="zh-CN"/>
        </w:rPr>
        <w:t>；</w:t>
      </w:r>
      <w:r>
        <w:rPr>
          <w:rFonts w:ascii="Times New Roman" w:hAnsi="Times New Roman" w:eastAsia="宋体"/>
          <w:szCs w:val="21"/>
        </w:rPr>
        <w:t>柱温为35℃</w:t>
      </w:r>
      <w:r>
        <w:rPr>
          <w:rFonts w:hint="eastAsia" w:ascii="Times New Roman" w:hAnsi="Times New Roman" w:eastAsia="宋体"/>
          <w:szCs w:val="21"/>
          <w:lang w:eastAsia="zh-CN"/>
        </w:rPr>
        <w:t>；</w:t>
      </w:r>
      <w:r>
        <w:rPr>
          <w:rFonts w:ascii="Times New Roman" w:hAnsi="Times New Roman" w:eastAsia="宋体"/>
          <w:szCs w:val="21"/>
        </w:rPr>
        <w:t>检测波长为220nm。理论板数</w:t>
      </w:r>
      <w:r>
        <w:rPr>
          <w:rFonts w:ascii="Times New Roman" w:hAnsi="Times New Roman" w:eastAsia="宋体"/>
          <w:color w:val="000000"/>
          <w:szCs w:val="21"/>
        </w:rPr>
        <w:t>按大麦芽碱峰计算应不低于5000。</w:t>
      </w:r>
    </w:p>
    <w:p>
      <w:pPr>
        <w:adjustRightInd w:val="0"/>
        <w:snapToGrid w:val="0"/>
        <w:spacing w:before="156" w:beforeLines="50" w:line="360" w:lineRule="auto"/>
        <w:ind w:firstLine="420" w:firstLineChars="200"/>
        <w:jc w:val="left"/>
        <w:rPr>
          <w:rFonts w:ascii="Times New Roman" w:hAnsi="Times New Roman" w:eastAsia="宋体"/>
          <w:szCs w:val="21"/>
        </w:rPr>
      </w:pPr>
      <w:r>
        <w:rPr>
          <w:rFonts w:ascii="黑体" w:hAnsi="黑体" w:eastAsia="黑体" w:cs="Times"/>
          <w:szCs w:val="21"/>
        </w:rPr>
        <w:t xml:space="preserve">参照物溶液的制备 </w:t>
      </w:r>
      <w:r>
        <w:rPr>
          <w:rFonts w:ascii="Times New Roman" w:hAnsi="Times New Roman" w:eastAsia="宋体"/>
          <w:b/>
          <w:szCs w:val="21"/>
        </w:rPr>
        <w:t xml:space="preserve"> </w:t>
      </w:r>
      <w:r>
        <w:rPr>
          <w:rFonts w:ascii="Times New Roman" w:hAnsi="Times New Roman" w:eastAsia="宋体"/>
          <w:szCs w:val="21"/>
        </w:rPr>
        <w:t>取麦芽对照药材5g，置具塞锥形瓶中，加水50ml，加热回流30分钟，取出，放冷，滤过，滤液蒸干，残渣加10%甲醇25ml，超声处理（功率300W，频率40kHz）30分钟，取出，放冷，滤过，取续滤液，作为对照药材参照物溶液。取〔含量测定〕项对照品溶液，另取5-羟甲基糠醛对照品适量，精密称定，加10%甲醇制成每1ml含5-羟甲基糠醛25µg溶液，作为对照品参照物溶液。</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firstLineChars="200"/>
        <w:rPr>
          <w:rFonts w:ascii="Times New Roman" w:hAnsi="Times New Roman" w:eastAsia="宋体"/>
          <w:szCs w:val="21"/>
        </w:rPr>
      </w:pPr>
      <w:r>
        <w:rPr>
          <w:rFonts w:ascii="黑体" w:hAnsi="黑体" w:eastAsia="黑体" w:cs="Times"/>
          <w:szCs w:val="21"/>
        </w:rPr>
        <w:t>供试品溶液的制备</w:t>
      </w:r>
      <w:r>
        <w:rPr>
          <w:rFonts w:ascii="Times New Roman" w:hAnsi="Times New Roman" w:eastAsia="宋体"/>
          <w:szCs w:val="21"/>
        </w:rPr>
        <w:t xml:space="preserve">  同〔含量测定〕项</w:t>
      </w:r>
      <w:r>
        <w:rPr>
          <w:rFonts w:ascii="Times New Roman" w:hAnsi="Times New Roman" w:eastAsia="宋体"/>
          <w:color w:val="000000"/>
          <w:szCs w:val="21"/>
        </w:rPr>
        <w:t>。</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firstLineChars="200"/>
        <w:rPr>
          <w:rFonts w:ascii="Times New Roman" w:hAnsi="Times New Roman" w:eastAsia="宋体"/>
          <w:szCs w:val="21"/>
        </w:rPr>
      </w:pPr>
      <w:r>
        <w:rPr>
          <w:rFonts w:ascii="黑体" w:hAnsi="黑体" w:eastAsia="黑体" w:cs="Times"/>
          <w:szCs w:val="21"/>
        </w:rPr>
        <w:t>测定法</w:t>
      </w:r>
      <w:r>
        <w:rPr>
          <w:rFonts w:ascii="Times New Roman" w:hAnsi="Times New Roman" w:eastAsia="宋体"/>
          <w:szCs w:val="21"/>
        </w:rPr>
        <w:t xml:space="preserve">  分别精密吸取参照物溶液与供试品溶液各2µl，注入液相色谱仪，测定，即得。</w:t>
      </w:r>
    </w:p>
    <w:p>
      <w:pPr>
        <w:spacing w:line="360" w:lineRule="auto"/>
        <w:ind w:firstLine="420" w:firstLineChars="200"/>
        <w:rPr>
          <w:rFonts w:ascii="Times New Roman" w:hAnsi="Times New Roman" w:eastAsia="宋体"/>
          <w:bCs/>
          <w:szCs w:val="21"/>
        </w:rPr>
      </w:pPr>
      <w:r>
        <w:rPr>
          <w:rFonts w:ascii="Times New Roman" w:hAnsi="Times New Roman" w:eastAsia="宋体"/>
          <w:bCs/>
          <w:szCs w:val="21"/>
        </w:rPr>
        <w:t>供试品色谱中应呈现9个特征峰，除峰6外，应与对照药材参照物色谱中的8个特征峰保留时间相对应，其中峰4、峰5、峰6应分别</w:t>
      </w:r>
      <w:r>
        <w:rPr>
          <w:rFonts w:hint="eastAsia" w:ascii="Times New Roman" w:hAnsi="Times New Roman" w:eastAsia="宋体"/>
          <w:bCs/>
          <w:szCs w:val="21"/>
          <w:lang w:val="en-US" w:eastAsia="zh-CN"/>
        </w:rPr>
        <w:t>相应</w:t>
      </w:r>
      <w:r>
        <w:rPr>
          <w:rFonts w:ascii="Times New Roman" w:hAnsi="Times New Roman" w:eastAsia="宋体"/>
          <w:bCs/>
          <w:szCs w:val="21"/>
        </w:rPr>
        <w:t>对照品参照物峰保留时间相对应</w:t>
      </w:r>
      <w:r>
        <w:rPr>
          <w:rFonts w:hint="eastAsia" w:ascii="Times New Roman" w:hAnsi="Times New Roman" w:eastAsia="宋体"/>
          <w:bCs/>
          <w:szCs w:val="21"/>
          <w:lang w:eastAsia="zh-CN"/>
        </w:rPr>
        <w:t>。</w:t>
      </w:r>
      <w:r>
        <w:rPr>
          <w:rFonts w:ascii="Times New Roman" w:hAnsi="Times New Roman" w:eastAsia="宋体"/>
          <w:bCs/>
          <w:szCs w:val="21"/>
        </w:rPr>
        <w:t>与大麦芽碱对照品参照物峰相应的峰为S峰，计算峰</w:t>
      </w:r>
      <w:r>
        <w:rPr>
          <w:rFonts w:hint="eastAsia" w:ascii="Times New Roman" w:hAnsi="Times New Roman" w:eastAsia="宋体"/>
          <w:bCs/>
          <w:szCs w:val="21"/>
          <w:lang w:val="en-US" w:eastAsia="zh-CN"/>
        </w:rPr>
        <w:t>1~峰3、峰7~峰9</w:t>
      </w:r>
      <w:r>
        <w:rPr>
          <w:rFonts w:ascii="Times New Roman" w:hAnsi="Times New Roman" w:eastAsia="宋体"/>
          <w:bCs/>
          <w:szCs w:val="21"/>
        </w:rPr>
        <w:t>与S峰的相对保留时间，其相对保留时间应在规定值的±10%范围之内，规定值为0.36（峰1）、0.39（峰2）、0.57（峰3）、1.40（峰7）、1.62（峰8）、1.69（峰9）。</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eastAsia="宋体"/>
          <w:szCs w:val="21"/>
        </w:rPr>
      </w:pPr>
      <w:r>
        <w:drawing>
          <wp:inline distT="0" distB="0" distL="0" distR="0">
            <wp:extent cx="5219700" cy="2120265"/>
            <wp:effectExtent l="0" t="0" r="0" b="1333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rrowheads="1"/>
                    </pic:cNvPicPr>
                  </pic:nvPicPr>
                  <pic:blipFill>
                    <a:blip r:embed="rId6">
                      <a:extLst>
                        <a:ext uri="{28A0092B-C50C-407E-A947-70E740481C1C}">
                          <a14:useLocalDpi xmlns:a14="http://schemas.microsoft.com/office/drawing/2010/main" val="0"/>
                        </a:ext>
                      </a:extLst>
                    </a:blip>
                    <a:srcRect r="4518" b="615"/>
                    <a:stretch>
                      <a:fillRect/>
                    </a:stretch>
                  </pic:blipFill>
                  <pic:spPr>
                    <a:xfrm>
                      <a:off x="0" y="0"/>
                      <a:ext cx="5219700" cy="2120265"/>
                    </a:xfrm>
                    <a:prstGeom prst="rect">
                      <a:avLst/>
                    </a:prstGeom>
                    <a:noFill/>
                    <a:ln>
                      <a:noFill/>
                    </a:ln>
                  </pic:spPr>
                </pic:pic>
              </a:graphicData>
            </a:graphic>
          </wp:inline>
        </w:drawing>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276" w:lineRule="auto"/>
        <w:ind w:firstLine="422" w:firstLineChars="200"/>
        <w:jc w:val="center"/>
        <w:textAlignment w:val="auto"/>
        <w:rPr>
          <w:rFonts w:ascii="Times" w:hAnsi="Times" w:eastAsia="宋体" w:cs="Times"/>
          <w:b/>
          <w:color w:val="000000"/>
          <w:szCs w:val="21"/>
        </w:rPr>
      </w:pPr>
      <w:r>
        <w:rPr>
          <w:rFonts w:ascii="Times" w:hAnsi="Times" w:eastAsia="宋体" w:cs="Times"/>
          <w:b/>
          <w:color w:val="000000"/>
          <w:szCs w:val="21"/>
        </w:rPr>
        <w:t>对照特征图谱</w:t>
      </w:r>
    </w:p>
    <w:p>
      <w:pPr>
        <w:keepNext w:val="0"/>
        <w:keepLines w:val="0"/>
        <w:pageBreakBefore w:val="0"/>
        <w:kinsoku/>
        <w:wordWrap/>
        <w:overflowPunct/>
        <w:topLinePunct w:val="0"/>
        <w:autoSpaceDE/>
        <w:autoSpaceDN/>
        <w:bidi w:val="0"/>
        <w:adjustRightInd/>
        <w:snapToGrid w:val="0"/>
        <w:spacing w:line="276" w:lineRule="auto"/>
        <w:ind w:firstLine="420"/>
        <w:jc w:val="center"/>
        <w:textAlignment w:val="auto"/>
        <w:rPr>
          <w:rFonts w:ascii="Times" w:hAnsi="Times" w:eastAsia="宋体" w:cs="Times"/>
          <w:color w:val="000000"/>
          <w:sz w:val="18"/>
          <w:szCs w:val="18"/>
        </w:rPr>
      </w:pPr>
      <w:r>
        <w:rPr>
          <w:rFonts w:ascii="Times" w:hAnsi="Times" w:eastAsia="宋体" w:cs="Times"/>
          <w:color w:val="000000"/>
          <w:sz w:val="18"/>
          <w:szCs w:val="18"/>
        </w:rPr>
        <w:t>峰1：腺嘌呤；峰3尿苷；峰4：N-甲基酪胺；</w:t>
      </w:r>
    </w:p>
    <w:p>
      <w:pPr>
        <w:keepNext w:val="0"/>
        <w:keepLines w:val="0"/>
        <w:pageBreakBefore w:val="0"/>
        <w:kinsoku/>
        <w:wordWrap/>
        <w:overflowPunct/>
        <w:topLinePunct w:val="0"/>
        <w:autoSpaceDE/>
        <w:autoSpaceDN/>
        <w:bidi w:val="0"/>
        <w:adjustRightInd/>
        <w:snapToGrid w:val="0"/>
        <w:spacing w:line="276" w:lineRule="auto"/>
        <w:ind w:firstLine="420"/>
        <w:jc w:val="center"/>
        <w:textAlignment w:val="auto"/>
        <w:rPr>
          <w:rFonts w:ascii="Times" w:hAnsi="Times" w:eastAsia="宋体" w:cs="Times"/>
          <w:color w:val="000000"/>
          <w:sz w:val="18"/>
          <w:szCs w:val="18"/>
        </w:rPr>
      </w:pPr>
      <w:r>
        <w:rPr>
          <w:rFonts w:ascii="Times" w:hAnsi="Times" w:eastAsia="宋体" w:cs="Times"/>
          <w:color w:val="000000"/>
          <w:sz w:val="18"/>
          <w:szCs w:val="18"/>
        </w:rPr>
        <w:t>峰5（</w:t>
      </w:r>
      <w:r>
        <w:rPr>
          <w:rFonts w:hint="eastAsia" w:ascii="Times" w:hAnsi="Times" w:eastAsia="宋体" w:cs="Times"/>
          <w:color w:val="000000"/>
          <w:sz w:val="18"/>
          <w:szCs w:val="18"/>
        </w:rPr>
        <w:t>S</w:t>
      </w:r>
      <w:r>
        <w:rPr>
          <w:rFonts w:ascii="Times" w:hAnsi="Times" w:eastAsia="宋体" w:cs="Times"/>
          <w:color w:val="000000"/>
          <w:sz w:val="18"/>
          <w:szCs w:val="18"/>
        </w:rPr>
        <w:t>）：大麦芽碱；峰6：5-羟甲基糠醛；峰7：腺苷；峰8：色氨酸</w:t>
      </w:r>
    </w:p>
    <w:p>
      <w:pPr>
        <w:keepNext w:val="0"/>
        <w:keepLines w:val="0"/>
        <w:pageBreakBefore w:val="0"/>
        <w:kinsoku/>
        <w:wordWrap/>
        <w:overflowPunct/>
        <w:topLinePunct w:val="0"/>
        <w:autoSpaceDE/>
        <w:autoSpaceDN/>
        <w:bidi w:val="0"/>
        <w:adjustRightInd/>
        <w:snapToGrid w:val="0"/>
        <w:spacing w:line="276" w:lineRule="auto"/>
        <w:ind w:firstLine="420"/>
        <w:jc w:val="center"/>
        <w:textAlignment w:val="auto"/>
        <w:rPr>
          <w:rFonts w:ascii="Times" w:hAnsi="Times" w:eastAsia="宋体" w:cs="Times"/>
          <w:color w:val="000000"/>
          <w:sz w:val="18"/>
          <w:szCs w:val="18"/>
        </w:rPr>
      </w:pPr>
      <w:r>
        <w:rPr>
          <w:rFonts w:ascii="Times" w:hAnsi="Times" w:eastAsia="宋体" w:cs="Times"/>
          <w:bCs/>
          <w:color w:val="000000"/>
          <w:sz w:val="18"/>
          <w:szCs w:val="18"/>
        </w:rPr>
        <w:t>参考色谱柱：</w:t>
      </w:r>
      <w:r>
        <w:rPr>
          <w:rFonts w:ascii="Times" w:hAnsi="Times" w:eastAsia="宋体" w:cs="Times"/>
          <w:color w:val="000000"/>
          <w:sz w:val="18"/>
          <w:szCs w:val="18"/>
        </w:rPr>
        <w:t xml:space="preserve"> ACQUITY UPLC® HSS T3，</w:t>
      </w:r>
      <w:r>
        <w:rPr>
          <w:rFonts w:ascii="Times" w:hAnsi="Times" w:eastAsia="宋体" w:cs="Times"/>
          <w:color w:val="000000"/>
          <w:sz w:val="18"/>
          <w:szCs w:val="18"/>
        </w:rPr>
        <w:t>2.1mm×</w:t>
      </w:r>
      <w:r>
        <w:rPr>
          <w:rFonts w:ascii="Times" w:hAnsi="Times" w:eastAsia="宋体" w:cs="Times"/>
          <w:color w:val="000000"/>
          <w:sz w:val="18"/>
          <w:szCs w:val="18"/>
        </w:rPr>
        <w:t>150mm，1.8µm</w:t>
      </w:r>
    </w:p>
    <w:p>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ascii="Times New Roman" w:hAnsi="Times New Roman" w:eastAsia="宋体"/>
          <w:szCs w:val="21"/>
        </w:rPr>
      </w:pPr>
      <w:r>
        <w:rPr>
          <w:rFonts w:ascii="黑体" w:hAnsi="黑体" w:eastAsia="黑体" w:cs="Times"/>
          <w:szCs w:val="21"/>
        </w:rPr>
        <w:t>【检查】</w:t>
      </w:r>
      <w:r>
        <w:rPr>
          <w:rFonts w:hint="eastAsia" w:ascii="黑体" w:hAnsi="黑体" w:eastAsia="黑体" w:cs="Times"/>
          <w:szCs w:val="21"/>
        </w:rPr>
        <w:t xml:space="preserve"> </w:t>
      </w:r>
      <w:r>
        <w:rPr>
          <w:rFonts w:ascii="黑体" w:hAnsi="黑体" w:eastAsia="黑体" w:cs="Times"/>
          <w:szCs w:val="21"/>
        </w:rPr>
        <w:t xml:space="preserve"> 黄曲霉毒素</w:t>
      </w:r>
      <w:r>
        <w:rPr>
          <w:rFonts w:ascii="Times New Roman" w:hAnsi="Times New Roman" w:eastAsia="宋体"/>
          <w:color w:val="000000"/>
          <w:kern w:val="0"/>
          <w:szCs w:val="21"/>
        </w:rPr>
        <w:t xml:space="preserve">  照真菌毒素测定法（</w:t>
      </w:r>
      <w:r>
        <w:rPr>
          <w:rFonts w:ascii="Times New Roman" w:hAnsi="Times New Roman" w:eastAsia="宋体"/>
          <w:szCs w:val="21"/>
        </w:rPr>
        <w:t>中国药典2020年版</w:t>
      </w:r>
      <w:r>
        <w:rPr>
          <w:rFonts w:ascii="Times New Roman" w:hAnsi="Times New Roman" w:eastAsia="宋体"/>
          <w:color w:val="000000"/>
          <w:kern w:val="0"/>
          <w:szCs w:val="21"/>
        </w:rPr>
        <w:t>通则2351）测定。</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napToGrid w:val="0"/>
        <w:spacing w:before="150" w:after="150" w:line="360" w:lineRule="auto"/>
        <w:ind w:firstLine="420" w:firstLineChars="200"/>
        <w:jc w:val="left"/>
        <w:textAlignment w:val="auto"/>
        <w:rPr>
          <w:rFonts w:ascii="Times New Roman" w:hAnsi="Times New Roman" w:eastAsia="宋体"/>
          <w:color w:val="000000"/>
          <w:kern w:val="0"/>
          <w:szCs w:val="21"/>
        </w:rPr>
      </w:pPr>
      <w:r>
        <w:rPr>
          <w:rFonts w:ascii="Times New Roman" w:hAnsi="Times New Roman" w:eastAsia="宋体"/>
          <w:color w:val="000000"/>
          <w:kern w:val="0"/>
          <w:szCs w:val="21"/>
        </w:rPr>
        <w:t>本品每1000g含黄曲霉毒素B</w:t>
      </w:r>
      <w:r>
        <w:rPr>
          <w:rFonts w:ascii="Times New Roman" w:hAnsi="Times New Roman" w:eastAsia="宋体"/>
          <w:color w:val="000000"/>
          <w:kern w:val="0"/>
          <w:szCs w:val="21"/>
          <w:vertAlign w:val="subscript"/>
        </w:rPr>
        <w:t>1</w:t>
      </w:r>
      <w:r>
        <w:rPr>
          <w:rFonts w:ascii="Times New Roman" w:hAnsi="Times New Roman" w:eastAsia="宋体"/>
          <w:color w:val="000000"/>
          <w:kern w:val="0"/>
          <w:szCs w:val="21"/>
        </w:rPr>
        <w:t>不得过5μg，黄曲霉毒素G</w:t>
      </w:r>
      <w:r>
        <w:rPr>
          <w:rFonts w:ascii="Times New Roman" w:hAnsi="Times New Roman" w:eastAsia="宋体"/>
          <w:color w:val="000000"/>
          <w:kern w:val="0"/>
          <w:szCs w:val="21"/>
          <w:vertAlign w:val="subscript"/>
        </w:rPr>
        <w:t>2</w:t>
      </w:r>
      <w:r>
        <w:rPr>
          <w:rFonts w:ascii="Times New Roman" w:hAnsi="Times New Roman" w:eastAsia="宋体"/>
          <w:color w:val="000000"/>
          <w:kern w:val="0"/>
          <w:szCs w:val="21"/>
        </w:rPr>
        <w:t>、黄曲霉毒素G</w:t>
      </w:r>
      <w:r>
        <w:rPr>
          <w:rFonts w:ascii="Times New Roman" w:hAnsi="Times New Roman" w:eastAsia="宋体"/>
          <w:color w:val="000000"/>
          <w:kern w:val="0"/>
          <w:szCs w:val="21"/>
          <w:vertAlign w:val="subscript"/>
        </w:rPr>
        <w:t>1</w:t>
      </w:r>
      <w:r>
        <w:rPr>
          <w:rFonts w:ascii="Times New Roman" w:hAnsi="Times New Roman" w:eastAsia="宋体"/>
          <w:color w:val="000000"/>
          <w:kern w:val="0"/>
          <w:szCs w:val="21"/>
        </w:rPr>
        <w:t>、黄曲霉毒素B</w:t>
      </w:r>
      <w:r>
        <w:rPr>
          <w:rFonts w:ascii="Times New Roman" w:hAnsi="Times New Roman" w:eastAsia="宋体"/>
          <w:color w:val="000000"/>
          <w:kern w:val="0"/>
          <w:szCs w:val="21"/>
          <w:vertAlign w:val="subscript"/>
        </w:rPr>
        <w:t>2</w:t>
      </w:r>
      <w:r>
        <w:rPr>
          <w:rFonts w:ascii="Times New Roman" w:hAnsi="Times New Roman" w:eastAsia="宋体"/>
          <w:color w:val="000000"/>
          <w:kern w:val="0"/>
          <w:szCs w:val="21"/>
        </w:rPr>
        <w:t>和黄曲霉毒素B</w:t>
      </w:r>
      <w:r>
        <w:rPr>
          <w:rFonts w:ascii="Times New Roman" w:hAnsi="Times New Roman" w:eastAsia="宋体"/>
          <w:color w:val="000000"/>
          <w:kern w:val="0"/>
          <w:szCs w:val="21"/>
          <w:vertAlign w:val="subscript"/>
        </w:rPr>
        <w:t>1</w:t>
      </w:r>
      <w:r>
        <w:rPr>
          <w:rFonts w:ascii="Times New Roman" w:hAnsi="Times New Roman" w:eastAsia="宋体"/>
          <w:color w:val="000000"/>
          <w:kern w:val="0"/>
          <w:szCs w:val="21"/>
        </w:rPr>
        <w:t>总量不得过10μg。</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napToGrid w:val="0"/>
        <w:spacing w:before="150" w:after="150" w:line="360" w:lineRule="auto"/>
        <w:ind w:firstLine="420" w:firstLineChars="200"/>
        <w:jc w:val="left"/>
        <w:textAlignment w:val="auto"/>
        <w:rPr>
          <w:rFonts w:ascii="Times New Roman" w:hAnsi="Times New Roman" w:eastAsia="宋体"/>
          <w:color w:val="000000"/>
          <w:kern w:val="0"/>
          <w:szCs w:val="21"/>
        </w:rPr>
      </w:pPr>
      <w:r>
        <w:rPr>
          <w:rFonts w:ascii="黑体" w:hAnsi="黑体" w:eastAsia="黑体" w:cs="Times"/>
          <w:szCs w:val="21"/>
        </w:rPr>
        <w:t>溶化性</w:t>
      </w:r>
      <w:r>
        <w:rPr>
          <w:rFonts w:ascii="Times New Roman" w:hAnsi="Times New Roman" w:eastAsia="宋体"/>
          <w:szCs w:val="21"/>
        </w:rPr>
        <w:t xml:space="preserve">  照颗粒剂溶化性检查方法（中国药典2020年版通则0104）检查，加热水200ml，搅拌5分钟（必要时加热煮沸15分钟），立即观察，应全部溶化或轻微浑浊，不得有焦屑。</w:t>
      </w:r>
    </w:p>
    <w:p>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ascii="Times New Roman" w:hAnsi="Times New Roman" w:eastAsia="宋体"/>
          <w:szCs w:val="21"/>
        </w:rPr>
      </w:pPr>
      <w:r>
        <w:rPr>
          <w:rFonts w:ascii="黑体" w:hAnsi="黑体" w:eastAsia="黑体" w:cs="Times"/>
          <w:szCs w:val="21"/>
        </w:rPr>
        <w:t>其他</w:t>
      </w:r>
      <w:r>
        <w:rPr>
          <w:rFonts w:ascii="Times New Roman" w:hAnsi="Times New Roman" w:eastAsia="宋体"/>
          <w:szCs w:val="21"/>
        </w:rPr>
        <w:t xml:space="preserve">  应符合颗粒剂项下有关的各项规定（中国药典2020年版通则0104）。</w:t>
      </w:r>
    </w:p>
    <w:p>
      <w:pPr>
        <w:keepNext w:val="0"/>
        <w:keepLines w:val="0"/>
        <w:pageBreakBefore w:val="0"/>
        <w:kinsoku/>
        <w:wordWrap/>
        <w:overflowPunct/>
        <w:topLinePunct w:val="0"/>
        <w:autoSpaceDE/>
        <w:autoSpaceDN/>
        <w:bidi w:val="0"/>
        <w:snapToGrid w:val="0"/>
        <w:spacing w:line="360" w:lineRule="auto"/>
        <w:ind w:firstLine="315" w:firstLineChars="150"/>
        <w:textAlignment w:val="auto"/>
        <w:rPr>
          <w:rFonts w:ascii="Times New Roman" w:hAnsi="Times New Roman" w:eastAsia="宋体"/>
          <w:color w:val="FF0000"/>
          <w:szCs w:val="21"/>
        </w:rPr>
      </w:pPr>
      <w:r>
        <w:rPr>
          <w:rFonts w:ascii="黑体" w:hAnsi="黑体" w:eastAsia="黑体" w:cs="Times"/>
          <w:szCs w:val="21"/>
        </w:rPr>
        <w:t>【浸出物】</w:t>
      </w:r>
      <w:r>
        <w:rPr>
          <w:rFonts w:hint="eastAsia" w:ascii="黑体" w:hAnsi="黑体" w:eastAsia="黑体" w:cs="Times"/>
          <w:szCs w:val="21"/>
        </w:rPr>
        <w:t xml:space="preserve"> </w:t>
      </w:r>
      <w:r>
        <w:rPr>
          <w:rFonts w:ascii="黑体" w:hAnsi="黑体" w:eastAsia="黑体" w:cs="Times"/>
          <w:szCs w:val="21"/>
        </w:rPr>
        <w:t xml:space="preserve"> </w:t>
      </w:r>
      <w:r>
        <w:rPr>
          <w:rFonts w:ascii="Times New Roman" w:hAnsi="Times New Roman" w:eastAsia="宋体"/>
          <w:bCs/>
          <w:szCs w:val="21"/>
        </w:rPr>
        <w:t>取本品，研细，取约2g，精密称定，精密加入乙醇100ml，照醇溶性浸出物测定法项下的热浸法（中国药典2020年版通则2201）测定，应不得少于19.0%。</w:t>
      </w:r>
    </w:p>
    <w:p>
      <w:pPr>
        <w:keepNext w:val="0"/>
        <w:keepLines w:val="0"/>
        <w:pageBreakBefore w:val="0"/>
        <w:kinsoku/>
        <w:wordWrap/>
        <w:overflowPunct/>
        <w:topLinePunct w:val="0"/>
        <w:autoSpaceDE/>
        <w:autoSpaceDN/>
        <w:bidi w:val="0"/>
        <w:snapToGrid w:val="0"/>
        <w:spacing w:line="360" w:lineRule="auto"/>
        <w:ind w:firstLine="315" w:firstLineChars="150"/>
        <w:textAlignment w:val="auto"/>
        <w:rPr>
          <w:rFonts w:ascii="Times New Roman" w:hAnsi="Times New Roman" w:eastAsia="宋体"/>
          <w:szCs w:val="21"/>
        </w:rPr>
      </w:pPr>
      <w:r>
        <w:rPr>
          <w:rFonts w:ascii="黑体" w:hAnsi="黑体" w:eastAsia="黑体" w:cs="Times"/>
          <w:szCs w:val="21"/>
        </w:rPr>
        <w:t>【含量测定】</w:t>
      </w:r>
      <w:r>
        <w:rPr>
          <w:rFonts w:hint="eastAsia" w:ascii="黑体" w:hAnsi="黑体" w:eastAsia="黑体" w:cs="Times"/>
          <w:szCs w:val="21"/>
        </w:rPr>
        <w:t xml:space="preserve"> </w:t>
      </w:r>
      <w:r>
        <w:rPr>
          <w:rFonts w:ascii="黑体" w:hAnsi="黑体" w:eastAsia="黑体" w:cs="Times"/>
          <w:szCs w:val="21"/>
        </w:rPr>
        <w:t xml:space="preserve"> </w:t>
      </w:r>
      <w:r>
        <w:rPr>
          <w:rFonts w:ascii="Times New Roman" w:hAnsi="Times New Roman" w:eastAsia="宋体"/>
          <w:szCs w:val="21"/>
        </w:rPr>
        <w:t>照高效液相色谱法</w:t>
      </w:r>
      <w:r>
        <w:rPr>
          <w:rFonts w:ascii="Times New Roman" w:hAnsi="Times New Roman" w:eastAsia="宋体"/>
          <w:bCs/>
          <w:szCs w:val="21"/>
        </w:rPr>
        <w:t>（中国药典2020年版 通则0512）</w:t>
      </w:r>
      <w:r>
        <w:rPr>
          <w:rFonts w:ascii="Times New Roman" w:hAnsi="Times New Roman" w:eastAsia="宋体"/>
          <w:szCs w:val="21"/>
        </w:rPr>
        <w:t>测定。</w:t>
      </w:r>
    </w:p>
    <w:p>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Times New Roman" w:hAnsi="Times New Roman" w:eastAsia="宋体"/>
          <w:szCs w:val="21"/>
        </w:rPr>
      </w:pPr>
      <w:r>
        <w:rPr>
          <w:rFonts w:ascii="黑体" w:hAnsi="黑体" w:eastAsia="黑体" w:cs="Times"/>
          <w:szCs w:val="21"/>
        </w:rPr>
        <w:t>色谱条件与系统适用性试验</w:t>
      </w:r>
      <w:r>
        <w:rPr>
          <w:rFonts w:ascii="Times New Roman" w:hAnsi="Times New Roman" w:eastAsia="宋体"/>
          <w:szCs w:val="21"/>
        </w:rPr>
        <w:t xml:space="preserve">  以十八烷基硅烷键合硅胶为填充剂（</w:t>
      </w:r>
      <w:r>
        <w:rPr>
          <w:rFonts w:ascii="Times New Roman" w:hAnsi="Times New Roman" w:eastAsia="宋体"/>
          <w:bCs/>
          <w:szCs w:val="21"/>
        </w:rPr>
        <w:t>柱长为150mm，内径为2.1mm，粒径为1.8µm）</w:t>
      </w:r>
      <w:r>
        <w:rPr>
          <w:rFonts w:ascii="Times New Roman" w:hAnsi="Times New Roman" w:eastAsia="宋体"/>
          <w:szCs w:val="21"/>
        </w:rPr>
        <w:t>；以甲醇-0.08mol/L磷酸二氢钾溶液（用10%磷酸调节pH值至3.50）（1：99）为流动相；柱温为40℃，流速为每分钟0.25ml，检测波长为220nm。理论板数按大麦芽碱峰计算应不低于5000。</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ascii="Times New Roman" w:hAnsi="Times New Roman" w:eastAsia="宋体"/>
          <w:szCs w:val="21"/>
        </w:rPr>
      </w:pPr>
      <w:r>
        <w:rPr>
          <w:rFonts w:ascii="黑体" w:hAnsi="黑体" w:eastAsia="黑体" w:cs="Times"/>
          <w:szCs w:val="21"/>
        </w:rPr>
        <w:t xml:space="preserve">对照品溶液的制备  </w:t>
      </w:r>
      <w:r>
        <w:rPr>
          <w:rFonts w:ascii="Times New Roman" w:hAnsi="Times New Roman" w:eastAsia="宋体"/>
          <w:szCs w:val="21"/>
        </w:rPr>
        <w:t>取N-甲基酪胺、大麦芽碱对照品适量，精密称定，加10%甲醇制成每1ml各含15µg的混合溶液，作为对照品溶液。</w:t>
      </w:r>
    </w:p>
    <w:p>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ascii="Times New Roman" w:hAnsi="Times New Roman" w:eastAsia="宋体"/>
          <w:bCs/>
          <w:szCs w:val="21"/>
        </w:rPr>
      </w:pPr>
      <w:r>
        <w:rPr>
          <w:rFonts w:ascii="黑体" w:hAnsi="黑体" w:eastAsia="黑体" w:cs="Times"/>
          <w:szCs w:val="21"/>
        </w:rPr>
        <w:t xml:space="preserve">供试品溶液的制备  </w:t>
      </w:r>
      <w:r>
        <w:rPr>
          <w:rFonts w:ascii="Times New Roman" w:hAnsi="Times New Roman" w:eastAsia="宋体"/>
          <w:bCs/>
          <w:szCs w:val="21"/>
        </w:rPr>
        <w:t>取本品，研细，取约0.7g，精密称定，置具塞锥形瓶中，精密加入10%甲醇25ml，称定重量，超声处理（功率300W，频率40kHz）30分钟，取出，放冷，再称定重量，用10%甲醇补足减失的重量，摇匀，滤过，取续滤液，即得。</w:t>
      </w:r>
    </w:p>
    <w:p>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ascii="Times New Roman" w:hAnsi="Times New Roman" w:eastAsia="宋体"/>
          <w:szCs w:val="21"/>
        </w:rPr>
      </w:pPr>
      <w:r>
        <w:rPr>
          <w:rFonts w:ascii="黑体" w:hAnsi="黑体" w:eastAsia="黑体" w:cs="Times"/>
          <w:szCs w:val="21"/>
        </w:rPr>
        <w:t xml:space="preserve">测定法  </w:t>
      </w:r>
      <w:r>
        <w:rPr>
          <w:rFonts w:ascii="Times New Roman" w:hAnsi="Times New Roman" w:eastAsia="宋体"/>
          <w:szCs w:val="21"/>
        </w:rPr>
        <w:t>分别精密吸取对照品溶液2μl、供试品溶液5μl，注入液相色谱仪中，测定，即得。</w:t>
      </w:r>
    </w:p>
    <w:p>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ascii="Times New Roman" w:hAnsi="Times New Roman" w:eastAsia="宋体"/>
          <w:szCs w:val="21"/>
        </w:rPr>
      </w:pPr>
      <w:r>
        <w:rPr>
          <w:rFonts w:ascii="Times New Roman" w:hAnsi="Times New Roman" w:eastAsia="宋体"/>
          <w:szCs w:val="21"/>
        </w:rPr>
        <w:t>本品每1g含N-甲基酪胺（C</w:t>
      </w:r>
      <w:r>
        <w:rPr>
          <w:rFonts w:ascii="Times New Roman" w:hAnsi="Times New Roman" w:eastAsia="宋体"/>
          <w:szCs w:val="21"/>
          <w:vertAlign w:val="subscript"/>
        </w:rPr>
        <w:t>9</w:t>
      </w:r>
      <w:r>
        <w:rPr>
          <w:rFonts w:ascii="Times New Roman" w:hAnsi="Times New Roman" w:eastAsia="宋体"/>
          <w:szCs w:val="21"/>
        </w:rPr>
        <w:t>H</w:t>
      </w:r>
      <w:r>
        <w:rPr>
          <w:rFonts w:ascii="Times New Roman" w:hAnsi="Times New Roman" w:eastAsia="宋体"/>
          <w:szCs w:val="21"/>
          <w:vertAlign w:val="subscript"/>
        </w:rPr>
        <w:t>13</w:t>
      </w:r>
      <w:r>
        <w:rPr>
          <w:rFonts w:ascii="Times New Roman" w:hAnsi="Times New Roman" w:eastAsia="宋体"/>
          <w:szCs w:val="21"/>
        </w:rPr>
        <w:t>NO）及大麦芽碱（C</w:t>
      </w:r>
      <w:r>
        <w:rPr>
          <w:rFonts w:ascii="Times New Roman" w:hAnsi="Times New Roman" w:eastAsia="宋体"/>
          <w:szCs w:val="21"/>
          <w:vertAlign w:val="subscript"/>
        </w:rPr>
        <w:t>10</w:t>
      </w:r>
      <w:r>
        <w:rPr>
          <w:rFonts w:ascii="Times New Roman" w:hAnsi="Times New Roman" w:eastAsia="宋体"/>
          <w:szCs w:val="21"/>
        </w:rPr>
        <w:t>H</w:t>
      </w:r>
      <w:r>
        <w:rPr>
          <w:rFonts w:ascii="Times New Roman" w:hAnsi="Times New Roman" w:eastAsia="宋体"/>
          <w:szCs w:val="21"/>
          <w:vertAlign w:val="subscript"/>
        </w:rPr>
        <w:t>15</w:t>
      </w:r>
      <w:r>
        <w:rPr>
          <w:rFonts w:ascii="Times New Roman" w:hAnsi="Times New Roman" w:eastAsia="宋体"/>
          <w:szCs w:val="21"/>
        </w:rPr>
        <w:t>NO）总量应为</w:t>
      </w:r>
      <w:r>
        <w:rPr>
          <w:rFonts w:ascii="Times New Roman" w:hAnsi="Times New Roman" w:eastAsia="宋体"/>
          <w:color w:val="000000"/>
          <w:szCs w:val="21"/>
        </w:rPr>
        <w:t>0.40</w:t>
      </w:r>
      <w:r>
        <w:rPr>
          <w:rFonts w:ascii="Times New Roman" w:hAnsi="Times New Roman" w:eastAsia="宋体"/>
          <w:szCs w:val="21"/>
        </w:rPr>
        <w:t>mg</w:t>
      </w:r>
      <w:r>
        <w:rPr>
          <w:rFonts w:ascii="Times New Roman" w:hAnsi="Times New Roman" w:eastAsia="宋体"/>
          <w:color w:val="000000"/>
          <w:szCs w:val="21"/>
        </w:rPr>
        <w:t>～1.30</w:t>
      </w:r>
      <w:r>
        <w:rPr>
          <w:rFonts w:ascii="Times New Roman" w:hAnsi="Times New Roman" w:eastAsia="宋体"/>
          <w:szCs w:val="21"/>
        </w:rPr>
        <w:t>mg。</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napToGrid w:val="0"/>
        <w:spacing w:line="360" w:lineRule="auto"/>
        <w:ind w:firstLine="420" w:firstLineChars="200"/>
        <w:textAlignment w:val="auto"/>
        <w:rPr>
          <w:rFonts w:ascii="Times New Roman" w:hAnsi="Times New Roman" w:eastAsia="宋体"/>
          <w:szCs w:val="21"/>
        </w:rPr>
      </w:pPr>
      <w:r>
        <w:rPr>
          <w:rFonts w:ascii="黑体" w:hAnsi="黑体" w:eastAsia="黑体" w:cs="Times"/>
          <w:szCs w:val="21"/>
        </w:rPr>
        <w:t xml:space="preserve">【规格】  </w:t>
      </w:r>
      <w:r>
        <w:rPr>
          <w:rFonts w:ascii="Times New Roman" w:hAnsi="Times New Roman" w:eastAsia="宋体"/>
          <w:szCs w:val="21"/>
        </w:rPr>
        <w:t>每1g配方颗粒相当于饮片10g</w:t>
      </w:r>
    </w:p>
    <w:p>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ascii="Times New Roman" w:hAnsi="Times New Roman" w:eastAsia="宋体"/>
          <w:szCs w:val="21"/>
        </w:rPr>
      </w:pPr>
      <w:r>
        <w:rPr>
          <w:rFonts w:ascii="黑体" w:hAnsi="黑体" w:eastAsia="黑体" w:cs="Times"/>
          <w:szCs w:val="21"/>
        </w:rPr>
        <w:t xml:space="preserve">【贮藏】  </w:t>
      </w:r>
      <w:r>
        <w:rPr>
          <w:rFonts w:ascii="Times New Roman" w:hAnsi="Times New Roman" w:eastAsia="宋体"/>
          <w:szCs w:val="21"/>
        </w:rPr>
        <w:t>密封。</w:t>
      </w:r>
    </w:p>
    <w:p>
      <w:pPr>
        <w:adjustRightInd/>
        <w:snapToGrid/>
        <w:spacing w:line="360" w:lineRule="auto"/>
        <w:ind w:firstLine="420" w:firstLineChars="200"/>
      </w:pPr>
      <w:bookmarkStart w:id="0" w:name="_GoBack"/>
      <w:bookmarkEnd w:id="0"/>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2</w:t>
    </w:r>
    <w:r>
      <w:fldChar w:fldCharType="end"/>
    </w:r>
  </w:p>
  <w:p>
    <w:pPr>
      <w:pStyle w:val="6"/>
      <w:tabs>
        <w:tab w:val="left" w:pos="6298"/>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000000" w:sz="4" w:space="1"/>
      </w:pBdr>
    </w:pPr>
    <w:r>
      <w:rPr>
        <w:rFonts w:hint="eastAsia" w:ascii="方正小标宋简体" w:eastAsia="方正小标宋简体"/>
        <w:sz w:val="28"/>
        <w:szCs w:val="28"/>
      </w:rPr>
      <w:t>广东省中药配方颗粒质量标准公示稿</w:t>
    </w:r>
    <w:r>
      <w:pict>
        <v:shape id="PowerPlusWaterMarkObject359980955" o:spid="_x0000_s4097" o:spt="136" type="#_x0000_t136" style="position:absolute;left:0pt;margin-left:-137.95pt;margin-top:314.1pt;height:40.2pt;width:643.2pt;mso-position-horizontal-relative:margin;mso-position-vertical-relative:margin;rotation:20643840f;z-index:-251657216;mso-width-relative:page;mso-height-relative:page;" fillcolor="#393737" filled="t" stroked="f" coordsize="21600,21600" o:allowincell="f">
          <v:path/>
          <v:fill on="t" opacity="32768f" focussize="0,0"/>
          <v:stroke on="f"/>
          <v:imagedata o:title=""/>
          <o:lock v:ext="edit"/>
          <v:textpath on="t" fitshape="t" fitpath="t" trim="t" xscale="f" string="广东省中药配方颗粒质量标准公示稿" style="font-family:Simsun;font-size:4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5OGYxN2E1MGU4MTU0NDE1NDJmZjAxNjM0NWQzOTkifQ=="/>
  </w:docVars>
  <w:rsids>
    <w:rsidRoot w:val="00900415"/>
    <w:rsid w:val="000071EC"/>
    <w:rsid w:val="000422A6"/>
    <w:rsid w:val="000755C0"/>
    <w:rsid w:val="00076132"/>
    <w:rsid w:val="000D75DD"/>
    <w:rsid w:val="001A50E3"/>
    <w:rsid w:val="00274D5C"/>
    <w:rsid w:val="00377C68"/>
    <w:rsid w:val="003E35BC"/>
    <w:rsid w:val="00522097"/>
    <w:rsid w:val="005D6BD3"/>
    <w:rsid w:val="00600088"/>
    <w:rsid w:val="007E51C2"/>
    <w:rsid w:val="00900415"/>
    <w:rsid w:val="00A3750A"/>
    <w:rsid w:val="00A77597"/>
    <w:rsid w:val="00B11390"/>
    <w:rsid w:val="00C3349E"/>
    <w:rsid w:val="00C51FE7"/>
    <w:rsid w:val="00CA2A99"/>
    <w:rsid w:val="00CB2B4D"/>
    <w:rsid w:val="00E20699"/>
    <w:rsid w:val="00E42D6F"/>
    <w:rsid w:val="00EA0401"/>
    <w:rsid w:val="00ED7117"/>
    <w:rsid w:val="00EE52FE"/>
    <w:rsid w:val="00F26E9C"/>
    <w:rsid w:val="00FD666B"/>
    <w:rsid w:val="06795B75"/>
    <w:rsid w:val="082A7E2C"/>
    <w:rsid w:val="0DEA645C"/>
    <w:rsid w:val="0E115D84"/>
    <w:rsid w:val="11C16417"/>
    <w:rsid w:val="152F25BA"/>
    <w:rsid w:val="1BAA7545"/>
    <w:rsid w:val="212E79EC"/>
    <w:rsid w:val="21C23C28"/>
    <w:rsid w:val="258B1965"/>
    <w:rsid w:val="262C00A3"/>
    <w:rsid w:val="2B434DE0"/>
    <w:rsid w:val="2C4C27BB"/>
    <w:rsid w:val="309D0EA3"/>
    <w:rsid w:val="38534DD9"/>
    <w:rsid w:val="3C784069"/>
    <w:rsid w:val="3E750F86"/>
    <w:rsid w:val="42F93809"/>
    <w:rsid w:val="45FD6947"/>
    <w:rsid w:val="486D1023"/>
    <w:rsid w:val="5BBC1EBA"/>
    <w:rsid w:val="5ECC7AFE"/>
    <w:rsid w:val="656B3869"/>
    <w:rsid w:val="68BE270C"/>
    <w:rsid w:val="6D8D3EC2"/>
    <w:rsid w:val="6E764B83"/>
    <w:rsid w:val="73DE3B61"/>
    <w:rsid w:val="7CDA1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28"/>
    <w:qFormat/>
    <w:uiPriority w:val="0"/>
    <w:pPr>
      <w:keepNext/>
      <w:keepLines/>
      <w:outlineLvl w:val="0"/>
    </w:pPr>
    <w:rPr>
      <w:b/>
      <w:kern w:val="44"/>
      <w:sz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unhideWhenUsed/>
    <w:qFormat/>
    <w:uiPriority w:val="0"/>
    <w:pPr>
      <w:spacing w:line="360" w:lineRule="auto"/>
    </w:pPr>
    <w:rPr>
      <w:rFonts w:ascii="Times New Roman" w:hAnsi="Times New Roman"/>
      <w:sz w:val="24"/>
    </w:rPr>
  </w:style>
  <w:style w:type="paragraph" w:styleId="4">
    <w:name w:val="annotation text"/>
    <w:basedOn w:val="1"/>
    <w:semiHidden/>
    <w:unhideWhenUsed/>
    <w:qFormat/>
    <w:uiPriority w:val="99"/>
    <w:pPr>
      <w:jc w:val="left"/>
    </w:pPr>
  </w:style>
  <w:style w:type="paragraph" w:styleId="5">
    <w:name w:val="Balloon Text"/>
    <w:basedOn w:val="1"/>
    <w:link w:val="20"/>
    <w:semiHidden/>
    <w:unhideWhenUsed/>
    <w:qFormat/>
    <w:uiPriority w:val="99"/>
    <w:rPr>
      <w:sz w:val="18"/>
      <w:szCs w:val="18"/>
    </w:r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1">
    <w:name w:val="列表段落1"/>
    <w:basedOn w:val="1"/>
    <w:qFormat/>
    <w:uiPriority w:val="34"/>
    <w:pPr>
      <w:ind w:firstLine="420" w:firstLineChars="200"/>
    </w:pPr>
  </w:style>
  <w:style w:type="paragraph" w:customStyle="1" w:styleId="12">
    <w:name w:val="引用1"/>
    <w:basedOn w:val="1"/>
    <w:next w:val="1"/>
    <w:link w:val="21"/>
    <w:qFormat/>
    <w:uiPriority w:val="29"/>
    <w:pPr>
      <w:jc w:val="center"/>
    </w:pPr>
    <w:rPr>
      <w:rFonts w:ascii="Times New Roman" w:hAnsi="Times New Roman"/>
      <w:iCs/>
      <w:color w:val="000000"/>
      <w:sz w:val="18"/>
    </w:rPr>
  </w:style>
  <w:style w:type="paragraph" w:customStyle="1" w:styleId="13">
    <w:name w:val="表格"/>
    <w:basedOn w:val="1"/>
    <w:link w:val="22"/>
    <w:qFormat/>
    <w:uiPriority w:val="0"/>
    <w:pPr>
      <w:jc w:val="center"/>
    </w:pPr>
    <w:rPr>
      <w:rFonts w:ascii="Times New Roman" w:hAnsi="Times New Roman" w:cs="Times New Roman"/>
      <w:sz w:val="18"/>
    </w:rPr>
  </w:style>
  <w:style w:type="paragraph" w:customStyle="1" w:styleId="14">
    <w:name w:val="列出段落1"/>
    <w:basedOn w:val="1"/>
    <w:qFormat/>
    <w:uiPriority w:val="34"/>
    <w:pPr>
      <w:spacing w:line="360" w:lineRule="auto"/>
      <w:ind w:firstLine="420" w:firstLineChars="200"/>
    </w:pPr>
    <w:rPr>
      <w:rFonts w:ascii="Times New Roman" w:hAnsi="Times New Roman"/>
      <w:sz w:val="24"/>
    </w:rPr>
  </w:style>
  <w:style w:type="paragraph" w:customStyle="1" w:styleId="15">
    <w:name w:val="引用11"/>
    <w:basedOn w:val="1"/>
    <w:next w:val="1"/>
    <w:qFormat/>
    <w:uiPriority w:val="29"/>
    <w:pPr>
      <w:adjustRightInd w:val="0"/>
      <w:snapToGrid w:val="0"/>
      <w:jc w:val="center"/>
    </w:pPr>
    <w:rPr>
      <w:rFonts w:ascii="Times New Roman" w:hAnsi="Times New Roman"/>
      <w:iCs/>
      <w:color w:val="000000"/>
      <w:sz w:val="18"/>
    </w:rPr>
  </w:style>
  <w:style w:type="paragraph" w:customStyle="1" w:styleId="16">
    <w:name w:val="无间隔1"/>
    <w:qFormat/>
    <w:uiPriority w:val="1"/>
    <w:pPr>
      <w:widowControl w:val="0"/>
      <w:jc w:val="center"/>
    </w:pPr>
    <w:rPr>
      <w:rFonts w:ascii="Times New Roman" w:hAnsi="Times New Roman" w:eastAsia="宋体" w:cs="黑体"/>
      <w:kern w:val="2"/>
      <w:sz w:val="21"/>
      <w:szCs w:val="22"/>
      <w:lang w:val="en-US" w:eastAsia="zh-CN" w:bidi="ar-SA"/>
    </w:rPr>
  </w:style>
  <w:style w:type="paragraph" w:customStyle="1" w:styleId="17">
    <w:name w:val="黑体字"/>
    <w:basedOn w:val="1"/>
    <w:link w:val="27"/>
    <w:qFormat/>
    <w:uiPriority w:val="0"/>
    <w:pPr>
      <w:ind w:firstLine="413" w:firstLineChars="196"/>
    </w:pPr>
    <w:rPr>
      <w:rFonts w:ascii="黑体" w:hAnsi="黑体" w:eastAsia="黑体" w:cs="Times New Roman"/>
      <w:b/>
      <w:kern w:val="0"/>
      <w:sz w:val="20"/>
      <w:szCs w:val="24"/>
    </w:rPr>
  </w:style>
  <w:style w:type="character" w:customStyle="1" w:styleId="18">
    <w:name w:val="页眉 Char"/>
    <w:link w:val="7"/>
    <w:semiHidden/>
    <w:qFormat/>
    <w:uiPriority w:val="99"/>
    <w:rPr>
      <w:sz w:val="18"/>
      <w:szCs w:val="18"/>
    </w:rPr>
  </w:style>
  <w:style w:type="character" w:customStyle="1" w:styleId="19">
    <w:name w:val="页脚 Char"/>
    <w:link w:val="6"/>
    <w:qFormat/>
    <w:uiPriority w:val="99"/>
    <w:rPr>
      <w:sz w:val="18"/>
      <w:szCs w:val="18"/>
    </w:rPr>
  </w:style>
  <w:style w:type="character" w:customStyle="1" w:styleId="20">
    <w:name w:val="批注框文本 Char"/>
    <w:link w:val="5"/>
    <w:semiHidden/>
    <w:qFormat/>
    <w:uiPriority w:val="99"/>
    <w:rPr>
      <w:sz w:val="18"/>
      <w:szCs w:val="18"/>
    </w:rPr>
  </w:style>
  <w:style w:type="character" w:customStyle="1" w:styleId="21">
    <w:name w:val="引用 Char"/>
    <w:link w:val="12"/>
    <w:qFormat/>
    <w:uiPriority w:val="29"/>
    <w:rPr>
      <w:rFonts w:ascii="Times New Roman" w:hAnsi="Times New Roman" w:eastAsia="宋体"/>
      <w:iCs/>
      <w:color w:val="000000"/>
      <w:sz w:val="18"/>
    </w:rPr>
  </w:style>
  <w:style w:type="character" w:customStyle="1" w:styleId="22">
    <w:name w:val="表格 Char"/>
    <w:link w:val="13"/>
    <w:qFormat/>
    <w:uiPriority w:val="0"/>
    <w:rPr>
      <w:rFonts w:ascii="Times New Roman" w:hAnsi="Times New Roman" w:eastAsia="宋体" w:cs="Times New Roman"/>
      <w:sz w:val="18"/>
    </w:rPr>
  </w:style>
  <w:style w:type="character" w:customStyle="1" w:styleId="23">
    <w:name w:val="font31"/>
    <w:qFormat/>
    <w:uiPriority w:val="0"/>
    <w:rPr>
      <w:rFonts w:hint="default" w:ascii="Times New Roman" w:hAnsi="Times New Roman" w:cs="Times New Roman"/>
      <w:color w:val="000000"/>
      <w:sz w:val="22"/>
      <w:szCs w:val="22"/>
      <w:u w:val="none"/>
    </w:rPr>
  </w:style>
  <w:style w:type="character" w:customStyle="1" w:styleId="24">
    <w:name w:val="font21"/>
    <w:basedOn w:val="10"/>
    <w:qFormat/>
    <w:uiPriority w:val="0"/>
    <w:rPr>
      <w:rFonts w:hint="default" w:ascii="Times New Roman" w:hAnsi="Times New Roman" w:cs="Times New Roman"/>
      <w:color w:val="FF0000"/>
      <w:sz w:val="22"/>
      <w:szCs w:val="22"/>
      <w:u w:val="none"/>
    </w:rPr>
  </w:style>
  <w:style w:type="character" w:customStyle="1" w:styleId="25">
    <w:name w:val="font11"/>
    <w:basedOn w:val="10"/>
    <w:qFormat/>
    <w:uiPriority w:val="0"/>
    <w:rPr>
      <w:rFonts w:hint="default" w:ascii="Times New Roman" w:hAnsi="Times New Roman" w:cs="Times New Roman"/>
      <w:color w:val="000000"/>
      <w:sz w:val="18"/>
      <w:szCs w:val="18"/>
      <w:u w:val="none"/>
    </w:rPr>
  </w:style>
  <w:style w:type="character" w:customStyle="1" w:styleId="26">
    <w:name w:val="font01"/>
    <w:qFormat/>
    <w:uiPriority w:val="0"/>
    <w:rPr>
      <w:rFonts w:hint="eastAsia" w:ascii="宋体" w:hAnsi="宋体" w:eastAsia="宋体" w:cs="宋体"/>
      <w:color w:val="000000"/>
      <w:sz w:val="18"/>
      <w:szCs w:val="18"/>
      <w:u w:val="none"/>
    </w:rPr>
  </w:style>
  <w:style w:type="character" w:customStyle="1" w:styleId="27">
    <w:name w:val="黑体字 Char"/>
    <w:link w:val="17"/>
    <w:qFormat/>
    <w:uiPriority w:val="0"/>
    <w:rPr>
      <w:rFonts w:ascii="黑体" w:hAnsi="黑体" w:eastAsia="黑体" w:cs="Times New Roman"/>
      <w:b/>
      <w:kern w:val="0"/>
      <w:sz w:val="20"/>
      <w:szCs w:val="24"/>
    </w:rPr>
  </w:style>
  <w:style w:type="character" w:customStyle="1" w:styleId="28">
    <w:name w:val="标题 1 Char"/>
    <w:link w:val="2"/>
    <w:qFormat/>
    <w:uiPriority w:val="9"/>
    <w:rPr>
      <w:b/>
      <w:kern w:val="44"/>
      <w:sz w:val="28"/>
    </w:rPr>
  </w:style>
  <w:style w:type="paragraph" w:customStyle="1" w:styleId="29">
    <w:name w:val="表格 表题 小五 宋体 加粗"/>
    <w:basedOn w:val="1"/>
    <w:qFormat/>
    <w:uiPriority w:val="0"/>
    <w:pPr>
      <w:widowControl/>
      <w:spacing w:line="360" w:lineRule="auto"/>
      <w:jc w:val="center"/>
    </w:pPr>
    <w:rPr>
      <w:rFonts w:ascii="宋体" w:hAnsi="宋体" w:eastAsia="宋体" w:cs="Times New Roman"/>
      <w:b/>
      <w:sz w:val="18"/>
      <w:szCs w:val="18"/>
    </w:rPr>
  </w:style>
  <w:style w:type="paragraph" w:customStyle="1" w:styleId="30">
    <w:name w:val="样式1"/>
    <w:basedOn w:val="3"/>
    <w:qFormat/>
    <w:uiPriority w:val="0"/>
    <w:rPr>
      <w:rFonts w:cs="Times New Roman"/>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4422</Words>
  <Characters>6260</Characters>
  <Lines>27</Lines>
  <Paragraphs>7</Paragraphs>
  <TotalTime>1</TotalTime>
  <ScaleCrop>false</ScaleCrop>
  <LinksUpToDate>false</LinksUpToDate>
  <CharactersWithSpaces>6362</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2020-03-31T12:04:00Z</dcterms:created>
  <dc:creator>李振雨</dc:creator>
  <cp:lastModifiedBy>admin</cp:lastModifiedBy>
  <cp:lastPrinted>2022-12-23T06:05:00Z</cp:lastPrinted>
  <dcterms:modified xsi:type="dcterms:W3CDTF">2023-01-19T04:35:53Z</dcterms:modified>
  <dc:title>卷柏（垫状卷柏）配方颗粒质量标准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8B5D0802CA0848178CAF1D9C2AE685A7</vt:lpwstr>
  </property>
</Properties>
</file>