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ind w:firstLine="560"/>
        <w:jc w:val="center"/>
        <w:textAlignment w:val="auto"/>
        <w:rPr>
          <w:rFonts w:eastAsia="黑体"/>
          <w:bCs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ind w:firstLine="0" w:firstLineChars="0"/>
        <w:jc w:val="center"/>
        <w:textAlignment w:val="auto"/>
        <w:rPr>
          <w:b/>
          <w:sz w:val="28"/>
          <w:szCs w:val="28"/>
        </w:rPr>
      </w:pPr>
      <w:r>
        <w:rPr>
          <w:rFonts w:hint="eastAsia" w:ascii="黑体" w:hAnsi="黑体" w:eastAsia="黑体" w:cs="黑体"/>
          <w:bCs/>
          <w:sz w:val="28"/>
          <w:szCs w:val="28"/>
        </w:rPr>
        <w:t>制白附子配方颗粒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ind w:firstLine="0" w:firstLineChars="0"/>
        <w:jc w:val="center"/>
        <w:textAlignment w:val="auto"/>
        <w:rPr>
          <w:bCs/>
          <w:sz w:val="24"/>
          <w:szCs w:val="24"/>
        </w:rPr>
      </w:pPr>
      <w:r>
        <w:rPr>
          <w:rFonts w:hint="eastAsia"/>
          <w:bCs/>
          <w:sz w:val="24"/>
          <w:szCs w:val="24"/>
        </w:rPr>
        <w:t>Zhibaifuzi</w:t>
      </w:r>
      <w:r>
        <w:rPr>
          <w:bCs/>
          <w:sz w:val="24"/>
          <w:szCs w:val="24"/>
        </w:rPr>
        <w:t xml:space="preserve"> Peifangkeli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ind w:firstLine="480"/>
        <w:jc w:val="center"/>
        <w:textAlignment w:val="auto"/>
        <w:rPr>
          <w:bCs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ind w:firstLine="420"/>
        <w:textAlignment w:val="auto"/>
        <w:rPr>
          <w:bCs/>
          <w:szCs w:val="21"/>
        </w:rPr>
      </w:pPr>
      <w:r>
        <w:rPr>
          <w:rFonts w:hint="eastAsia" w:ascii="黑体" w:hAnsi="黑体" w:eastAsia="黑体" w:cs="黑体"/>
          <w:bCs/>
          <w:szCs w:val="21"/>
        </w:rPr>
        <w:t xml:space="preserve">【来源】  </w:t>
      </w:r>
      <w:r>
        <w:rPr>
          <w:rFonts w:hint="eastAsia"/>
          <w:color w:val="000000"/>
          <w:szCs w:val="21"/>
        </w:rPr>
        <w:t>本品</w:t>
      </w:r>
      <w:r>
        <w:rPr>
          <w:color w:val="000000"/>
          <w:szCs w:val="21"/>
        </w:rPr>
        <w:t>为天南星科植物独角莲</w:t>
      </w:r>
      <w:r>
        <w:rPr>
          <w:i/>
          <w:iCs/>
          <w:color w:val="000000"/>
          <w:szCs w:val="21"/>
        </w:rPr>
        <w:t>Typhonium giganteum</w:t>
      </w:r>
      <w:r>
        <w:rPr>
          <w:color w:val="000000"/>
          <w:szCs w:val="21"/>
        </w:rPr>
        <w:t xml:space="preserve"> Engl.的干燥块茎经炮制并按标准汤剂的主要质量指标加工制成</w:t>
      </w:r>
      <w:bookmarkStart w:id="0" w:name="_Toc370995089"/>
      <w:r>
        <w:rPr>
          <w:rFonts w:hint="eastAsia"/>
          <w:szCs w:val="21"/>
        </w:rPr>
        <w:t>的配方颗粒。</w:t>
      </w:r>
    </w:p>
    <w:bookmarkEnd w:id="0"/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ind w:firstLine="420"/>
        <w:textAlignment w:val="auto"/>
        <w:rPr>
          <w:color w:val="FF0000"/>
          <w:szCs w:val="21"/>
        </w:rPr>
      </w:pPr>
      <w:r>
        <w:rPr>
          <w:rFonts w:hint="eastAsia" w:ascii="黑体" w:hAnsi="黑体" w:eastAsia="黑体" w:cs="黑体"/>
          <w:bCs/>
          <w:szCs w:val="21"/>
        </w:rPr>
        <w:t xml:space="preserve">【制法】  </w:t>
      </w:r>
      <w:r>
        <w:rPr>
          <w:rFonts w:hint="eastAsia"/>
          <w:szCs w:val="21"/>
        </w:rPr>
        <w:t>取</w:t>
      </w:r>
      <w:r>
        <w:rPr>
          <w:szCs w:val="24"/>
        </w:rPr>
        <w:t>制白附子饮片2200g，加水煎煮，滤过，</w:t>
      </w:r>
      <w:r>
        <w:rPr>
          <w:color w:val="000000"/>
          <w:szCs w:val="24"/>
        </w:rPr>
        <w:t>滤液浓缩成清膏（</w:t>
      </w:r>
      <w:r>
        <w:rPr>
          <w:szCs w:val="24"/>
        </w:rPr>
        <w:t>干浸膏出膏率为25%～45%</w:t>
      </w:r>
      <w:r>
        <w:rPr>
          <w:color w:val="000000"/>
          <w:szCs w:val="24"/>
        </w:rPr>
        <w:t>）</w:t>
      </w:r>
      <w:r>
        <w:rPr>
          <w:szCs w:val="24"/>
        </w:rPr>
        <w:t>，</w:t>
      </w:r>
      <w:r>
        <w:rPr>
          <w:color w:val="000000"/>
          <w:szCs w:val="24"/>
        </w:rPr>
        <w:t>干燥（或干燥，粉碎）</w:t>
      </w:r>
      <w:r>
        <w:rPr>
          <w:szCs w:val="24"/>
        </w:rPr>
        <w:t>，加入辅料适量，混匀，制粒，制成1000g</w:t>
      </w:r>
      <w:r>
        <w:rPr>
          <w:rFonts w:hint="eastAsia"/>
          <w:szCs w:val="21"/>
        </w:rPr>
        <w:t>，即得。</w:t>
      </w:r>
    </w:p>
    <w:p>
      <w:pPr>
        <w:keepNext w:val="0"/>
        <w:keepLines w:val="0"/>
        <w:pageBreakBefore w:val="0"/>
        <w:widowControl w:val="0"/>
        <w:tabs>
          <w:tab w:val="left" w:pos="6687"/>
        </w:tabs>
        <w:kinsoku/>
        <w:wordWrap/>
        <w:overflowPunct/>
        <w:topLinePunct w:val="0"/>
        <w:autoSpaceDE/>
        <w:autoSpaceDN/>
        <w:bidi w:val="0"/>
        <w:adjustRightInd/>
        <w:snapToGrid w:val="0"/>
        <w:ind w:firstLine="420"/>
        <w:textAlignment w:val="auto"/>
        <w:rPr>
          <w:szCs w:val="21"/>
        </w:rPr>
      </w:pPr>
      <w:r>
        <w:rPr>
          <w:rFonts w:hint="eastAsia" w:ascii="黑体" w:hAnsi="黑体" w:eastAsia="黑体" w:cs="黑体"/>
          <w:bCs/>
          <w:szCs w:val="21"/>
        </w:rPr>
        <w:t xml:space="preserve">【性状】  </w:t>
      </w:r>
      <w:r>
        <w:rPr>
          <w:rFonts w:hint="eastAsia"/>
          <w:color w:val="000000"/>
          <w:szCs w:val="21"/>
        </w:rPr>
        <w:t>本品</w:t>
      </w:r>
      <w:r>
        <w:rPr>
          <w:szCs w:val="24"/>
        </w:rPr>
        <w:t>应为乳白色至黄色颗粒；气微，味淡</w:t>
      </w:r>
      <w:r>
        <w:rPr>
          <w:rFonts w:hint="eastAsia"/>
          <w:color w:val="000000"/>
          <w:szCs w:val="21"/>
        </w:rPr>
        <w:t>。</w:t>
      </w:r>
      <w:r>
        <w:rPr>
          <w:color w:val="000000"/>
          <w:szCs w:val="21"/>
        </w:rPr>
        <w:tab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ind w:firstLine="420"/>
        <w:textAlignment w:val="auto"/>
        <w:rPr>
          <w:szCs w:val="21"/>
        </w:rPr>
      </w:pPr>
      <w:r>
        <w:rPr>
          <w:rFonts w:hint="eastAsia" w:ascii="黑体" w:hAnsi="黑体" w:eastAsia="黑体" w:cs="黑体"/>
          <w:bCs/>
          <w:szCs w:val="21"/>
        </w:rPr>
        <w:t xml:space="preserve">【鉴别】  </w:t>
      </w:r>
      <w:r>
        <w:rPr>
          <w:rFonts w:hint="eastAsia"/>
          <w:szCs w:val="21"/>
        </w:rPr>
        <w:t>取</w:t>
      </w:r>
      <w:r>
        <w:rPr>
          <w:bCs/>
          <w:color w:val="000000"/>
          <w:kern w:val="0"/>
          <w:szCs w:val="24"/>
        </w:rPr>
        <w:t>本品10g，研细，置索氏提取器中，加三氯甲烷-甲醇</w:t>
      </w:r>
      <w:r>
        <w:rPr>
          <w:rFonts w:hint="eastAsia"/>
          <w:bCs/>
          <w:color w:val="000000"/>
          <w:kern w:val="0"/>
          <w:szCs w:val="24"/>
        </w:rPr>
        <w:t>（</w:t>
      </w:r>
      <w:r>
        <w:rPr>
          <w:bCs/>
          <w:color w:val="000000"/>
          <w:kern w:val="0"/>
          <w:szCs w:val="24"/>
        </w:rPr>
        <w:t>3：1</w:t>
      </w:r>
      <w:r>
        <w:rPr>
          <w:rFonts w:hint="eastAsia"/>
          <w:bCs/>
          <w:color w:val="000000"/>
          <w:kern w:val="0"/>
          <w:szCs w:val="24"/>
        </w:rPr>
        <w:t>）</w:t>
      </w:r>
      <w:r>
        <w:rPr>
          <w:bCs/>
          <w:color w:val="000000"/>
          <w:kern w:val="0"/>
          <w:szCs w:val="24"/>
        </w:rPr>
        <w:t>混合溶液100ml，加热回流2小时，提取液蒸干，残渣加丙酮2ml使溶解，作为供试品溶液。另取白附子对照药材10g，同法制成对照药材溶液。再取β-谷甾醇对照品，加丙酮制成每1ml含1mg的溶液，作为对照品溶液。照薄层色谱法（中国药典2020年版通则0502）试验，吸取</w:t>
      </w:r>
      <w:r>
        <w:rPr>
          <w:rFonts w:hint="eastAsia"/>
          <w:bCs/>
          <w:color w:val="000000"/>
          <w:kern w:val="0"/>
          <w:szCs w:val="24"/>
        </w:rPr>
        <w:t>对照品和对照药材</w:t>
      </w:r>
      <w:r>
        <w:rPr>
          <w:bCs/>
          <w:color w:val="000000"/>
          <w:kern w:val="0"/>
          <w:szCs w:val="24"/>
        </w:rPr>
        <w:t>溶液各2～</w:t>
      </w:r>
      <w:r>
        <w:rPr>
          <w:rFonts w:hint="eastAsia"/>
          <w:bCs/>
          <w:color w:val="000000"/>
          <w:kern w:val="0"/>
          <w:szCs w:val="24"/>
        </w:rPr>
        <w:t>4</w:t>
      </w:r>
      <w:r>
        <w:rPr>
          <w:bCs/>
          <w:color w:val="000000"/>
          <w:kern w:val="0"/>
          <w:szCs w:val="24"/>
        </w:rPr>
        <w:t>μl</w:t>
      </w:r>
      <w:r>
        <w:rPr>
          <w:rFonts w:hint="eastAsia"/>
          <w:bCs/>
          <w:color w:val="000000"/>
          <w:kern w:val="0"/>
          <w:szCs w:val="24"/>
        </w:rPr>
        <w:t>、供试品溶液10~20</w:t>
      </w:r>
      <w:r>
        <w:rPr>
          <w:bCs/>
          <w:color w:val="000000"/>
          <w:kern w:val="0"/>
          <w:szCs w:val="24"/>
        </w:rPr>
        <w:t>μl</w:t>
      </w:r>
      <w:r>
        <w:rPr>
          <w:rFonts w:hint="eastAsia"/>
          <w:bCs/>
          <w:color w:val="000000"/>
          <w:kern w:val="0"/>
          <w:szCs w:val="24"/>
        </w:rPr>
        <w:t>，</w:t>
      </w:r>
      <w:r>
        <w:rPr>
          <w:bCs/>
          <w:color w:val="000000"/>
          <w:kern w:val="0"/>
          <w:szCs w:val="24"/>
        </w:rPr>
        <w:t>分别点于同一硅胶GF254薄层板上，以三氯甲烷-丙酮</w:t>
      </w:r>
      <w:r>
        <w:rPr>
          <w:rFonts w:hint="eastAsia"/>
          <w:bCs/>
          <w:color w:val="000000"/>
          <w:kern w:val="0"/>
          <w:szCs w:val="24"/>
        </w:rPr>
        <w:t>（</w:t>
      </w:r>
      <w:r>
        <w:rPr>
          <w:bCs/>
          <w:color w:val="000000"/>
          <w:kern w:val="0"/>
          <w:szCs w:val="24"/>
        </w:rPr>
        <w:t>25:1</w:t>
      </w:r>
      <w:r>
        <w:rPr>
          <w:rFonts w:hint="eastAsia"/>
          <w:bCs/>
          <w:color w:val="000000"/>
          <w:kern w:val="0"/>
          <w:szCs w:val="24"/>
        </w:rPr>
        <w:t>）</w:t>
      </w:r>
      <w:r>
        <w:rPr>
          <w:bCs/>
          <w:color w:val="000000"/>
          <w:kern w:val="0"/>
          <w:szCs w:val="24"/>
        </w:rPr>
        <w:t>为展开剂，展开，取出，晾干，喷以10％硫酸乙醇溶液，在105</w:t>
      </w:r>
      <w:r>
        <w:rPr>
          <w:rFonts w:hint="eastAsia"/>
          <w:bCs/>
          <w:color w:val="000000"/>
          <w:kern w:val="0"/>
          <w:szCs w:val="24"/>
        </w:rPr>
        <w:t>℃</w:t>
      </w:r>
      <w:r>
        <w:rPr>
          <w:bCs/>
          <w:color w:val="000000"/>
          <w:kern w:val="0"/>
          <w:szCs w:val="24"/>
        </w:rPr>
        <w:t>加热至斑点显色清晰，</w:t>
      </w:r>
      <w:r>
        <w:rPr>
          <w:rFonts w:hint="eastAsia"/>
          <w:bCs/>
          <w:color w:val="000000"/>
          <w:kern w:val="0"/>
          <w:szCs w:val="24"/>
        </w:rPr>
        <w:t>分别置日光和紫外光灯（365nm）下检视。供试品色谱中，在与对照药材色谱和对照品色谱相应的位置上，显相同颜色的斑点或</w:t>
      </w:r>
      <w:r>
        <w:rPr>
          <w:rFonts w:hint="eastAsia"/>
          <w:szCs w:val="21"/>
        </w:rPr>
        <w:t>荧光斑点。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ind w:firstLine="420"/>
        <w:textAlignment w:val="auto"/>
        <w:rPr>
          <w:szCs w:val="21"/>
        </w:rPr>
      </w:pPr>
      <w:r>
        <w:rPr>
          <w:rFonts w:hint="eastAsia" w:ascii="黑体" w:hAnsi="黑体" w:eastAsia="黑体" w:cs="黑体"/>
          <w:bCs/>
          <w:szCs w:val="21"/>
        </w:rPr>
        <w:t xml:space="preserve">【特征图谱】  </w:t>
      </w:r>
      <w:r>
        <w:rPr>
          <w:rFonts w:hint="eastAsia"/>
          <w:szCs w:val="21"/>
        </w:rPr>
        <w:t>照高效液相色谱法（中国药典</w:t>
      </w:r>
      <w:r>
        <w:rPr>
          <w:szCs w:val="21"/>
        </w:rPr>
        <w:t>2020</w:t>
      </w:r>
      <w:r>
        <w:rPr>
          <w:rFonts w:hint="eastAsia"/>
          <w:szCs w:val="21"/>
        </w:rPr>
        <w:t>年版通则</w:t>
      </w:r>
      <w:r>
        <w:rPr>
          <w:szCs w:val="21"/>
        </w:rPr>
        <w:t>0512</w:t>
      </w:r>
      <w:r>
        <w:rPr>
          <w:rFonts w:hint="eastAsia"/>
          <w:szCs w:val="21"/>
        </w:rPr>
        <w:t>）测定。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ind w:firstLine="420"/>
        <w:textAlignment w:val="auto"/>
        <w:rPr>
          <w:szCs w:val="21"/>
        </w:rPr>
      </w:pPr>
      <w:bookmarkStart w:id="1" w:name="OLE_LINK157"/>
      <w:bookmarkStart w:id="2" w:name="OLE_LINK182"/>
      <w:bookmarkStart w:id="3" w:name="OLE_LINK156"/>
      <w:bookmarkStart w:id="4" w:name="OLE_LINK181"/>
      <w:r>
        <w:rPr>
          <w:rFonts w:hint="eastAsia" w:ascii="黑体" w:hAnsi="黑体" w:eastAsia="黑体" w:cs="黑体"/>
          <w:szCs w:val="21"/>
        </w:rPr>
        <w:t>色谱条件与系统适用性试验</w:t>
      </w:r>
      <w:bookmarkEnd w:id="1"/>
      <w:bookmarkEnd w:id="2"/>
      <w:bookmarkEnd w:id="3"/>
      <w:bookmarkEnd w:id="4"/>
      <w:r>
        <w:rPr>
          <w:rFonts w:hint="eastAsia" w:ascii="黑体" w:hAnsi="黑体" w:eastAsia="黑体" w:cs="黑体"/>
          <w:szCs w:val="21"/>
        </w:rPr>
        <w:t xml:space="preserve">  </w:t>
      </w:r>
      <w:r>
        <w:rPr>
          <w:rFonts w:hint="eastAsia"/>
          <w:szCs w:val="21"/>
        </w:rPr>
        <w:t>以十八烷基硅烷键合硅胶为填充剂（柱长为</w:t>
      </w:r>
      <w:r>
        <w:rPr>
          <w:szCs w:val="21"/>
        </w:rPr>
        <w:t>1</w:t>
      </w:r>
      <w:r>
        <w:rPr>
          <w:rFonts w:hint="eastAsia"/>
          <w:szCs w:val="21"/>
        </w:rPr>
        <w:t>5</w:t>
      </w:r>
      <w:r>
        <w:rPr>
          <w:szCs w:val="21"/>
        </w:rPr>
        <w:t>0mm</w:t>
      </w:r>
      <w:r>
        <w:rPr>
          <w:rFonts w:hint="eastAsia"/>
          <w:szCs w:val="21"/>
        </w:rPr>
        <w:t>，内径为</w:t>
      </w:r>
      <w:r>
        <w:rPr>
          <w:szCs w:val="21"/>
        </w:rPr>
        <w:t>2.1mm</w:t>
      </w:r>
      <w:r>
        <w:rPr>
          <w:rFonts w:hint="eastAsia"/>
          <w:szCs w:val="21"/>
        </w:rPr>
        <w:t>，粒径为1.8</w:t>
      </w:r>
      <w:r>
        <w:rPr>
          <w:szCs w:val="21"/>
        </w:rPr>
        <w:t>μm)</w:t>
      </w:r>
      <w:r>
        <w:rPr>
          <w:rFonts w:hint="eastAsia"/>
          <w:szCs w:val="21"/>
        </w:rPr>
        <w:t>；以</w:t>
      </w:r>
      <w:r>
        <w:rPr>
          <w:szCs w:val="24"/>
        </w:rPr>
        <w:t>乙腈为流动相A，以0.1%磷酸溶液为流动相B，按下表中的规定进行梯度洗脱；流速为每分钟0.3ml；</w:t>
      </w:r>
      <w:r>
        <w:rPr>
          <w:rFonts w:hint="eastAsia" w:cs="Arial"/>
          <w:szCs w:val="24"/>
        </w:rPr>
        <w:t>柱温为</w:t>
      </w:r>
      <w:r>
        <w:rPr>
          <w:szCs w:val="24"/>
        </w:rPr>
        <w:t>30℃</w:t>
      </w:r>
      <w:r>
        <w:rPr>
          <w:rFonts w:hint="eastAsia" w:cs="Arial"/>
          <w:szCs w:val="24"/>
        </w:rPr>
        <w:t>；</w:t>
      </w:r>
      <w:r>
        <w:rPr>
          <w:szCs w:val="24"/>
        </w:rPr>
        <w:t>检测波长为260nm；</w:t>
      </w:r>
      <w:r>
        <w:rPr>
          <w:color w:val="000000"/>
          <w:szCs w:val="24"/>
        </w:rPr>
        <w:t>理论板数按尿苷</w:t>
      </w:r>
      <w:r>
        <w:rPr>
          <w:rFonts w:hint="eastAsia"/>
          <w:color w:val="000000"/>
          <w:szCs w:val="24"/>
        </w:rPr>
        <w:t>峰</w:t>
      </w:r>
      <w:r>
        <w:rPr>
          <w:color w:val="000000"/>
          <w:szCs w:val="24"/>
        </w:rPr>
        <w:t>计算应不低于500</w:t>
      </w:r>
      <w:r>
        <w:rPr>
          <w:szCs w:val="21"/>
        </w:rPr>
        <w:t>0</w:t>
      </w:r>
      <w:r>
        <w:rPr>
          <w:rFonts w:hint="eastAsia"/>
          <w:szCs w:val="21"/>
        </w:rPr>
        <w:t>。</w:t>
      </w:r>
    </w:p>
    <w:tbl>
      <w:tblPr>
        <w:tblStyle w:val="8"/>
        <w:tblW w:w="5000" w:type="pct"/>
        <w:jc w:val="center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2840"/>
        <w:gridCol w:w="2842"/>
      </w:tblGrid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9" w:hRule="atLeast"/>
          <w:tblHeader/>
          <w:jc w:val="center"/>
        </w:trPr>
        <w:tc>
          <w:tcPr>
            <w:tcW w:w="1666" w:type="pct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40" w:lineRule="auto"/>
              <w:ind w:left="420" w:firstLine="0" w:firstLineChars="0"/>
              <w:jc w:val="center"/>
              <w:rPr>
                <w:szCs w:val="21"/>
              </w:rPr>
            </w:pPr>
            <w:r>
              <w:rPr>
                <w:szCs w:val="21"/>
              </w:rPr>
              <w:t>时间（分钟）</w:t>
            </w:r>
          </w:p>
        </w:tc>
        <w:tc>
          <w:tcPr>
            <w:tcW w:w="1666" w:type="pct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40" w:lineRule="auto"/>
              <w:ind w:left="420" w:firstLine="0" w:firstLineChars="0"/>
              <w:jc w:val="center"/>
              <w:rPr>
                <w:szCs w:val="21"/>
              </w:rPr>
            </w:pPr>
            <w:r>
              <w:rPr>
                <w:szCs w:val="21"/>
              </w:rPr>
              <w:t>流动相A（%）</w:t>
            </w:r>
          </w:p>
        </w:tc>
        <w:tc>
          <w:tcPr>
            <w:tcW w:w="1667" w:type="pct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40" w:lineRule="auto"/>
              <w:ind w:left="420" w:firstLine="0" w:firstLineChars="0"/>
              <w:jc w:val="center"/>
              <w:rPr>
                <w:szCs w:val="21"/>
              </w:rPr>
            </w:pPr>
            <w:r>
              <w:rPr>
                <w:szCs w:val="21"/>
              </w:rPr>
              <w:t>流动相B（%）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atLeast"/>
          <w:jc w:val="center"/>
        </w:trPr>
        <w:tc>
          <w:tcPr>
            <w:tcW w:w="1666" w:type="pct"/>
            <w:tcBorders>
              <w:top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40" w:lineRule="auto"/>
              <w:ind w:left="420" w:firstLine="420"/>
              <w:jc w:val="center"/>
              <w:rPr>
                <w:szCs w:val="21"/>
              </w:rPr>
            </w:pPr>
            <w:r>
              <w:rPr>
                <w:szCs w:val="21"/>
              </w:rPr>
              <w:t>0~5</w:t>
            </w:r>
          </w:p>
        </w:tc>
        <w:tc>
          <w:tcPr>
            <w:tcW w:w="1666" w:type="pct"/>
            <w:tcBorders>
              <w:top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40" w:lineRule="auto"/>
              <w:ind w:left="420" w:firstLine="420"/>
              <w:jc w:val="center"/>
              <w:rPr>
                <w:szCs w:val="21"/>
              </w:rPr>
            </w:pPr>
            <w:r>
              <w:rPr>
                <w:szCs w:val="21"/>
              </w:rPr>
              <w:t>0</w:t>
            </w:r>
          </w:p>
        </w:tc>
        <w:tc>
          <w:tcPr>
            <w:tcW w:w="1667" w:type="pct"/>
            <w:tcBorders>
              <w:top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40" w:lineRule="auto"/>
              <w:ind w:left="420" w:firstLine="420"/>
              <w:jc w:val="center"/>
              <w:rPr>
                <w:szCs w:val="21"/>
              </w:rPr>
            </w:pPr>
            <w:r>
              <w:rPr>
                <w:szCs w:val="21"/>
              </w:rPr>
              <w:t>100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2" w:hRule="atLeast"/>
          <w:jc w:val="center"/>
        </w:trPr>
        <w:tc>
          <w:tcPr>
            <w:tcW w:w="1666" w:type="pct"/>
            <w:vAlign w:val="center"/>
          </w:tcPr>
          <w:p>
            <w:pPr>
              <w:adjustRightInd w:val="0"/>
              <w:snapToGrid w:val="0"/>
              <w:spacing w:line="240" w:lineRule="auto"/>
              <w:ind w:left="420" w:firstLine="420"/>
              <w:jc w:val="center"/>
              <w:rPr>
                <w:szCs w:val="21"/>
              </w:rPr>
            </w:pPr>
            <w:r>
              <w:rPr>
                <w:szCs w:val="21"/>
              </w:rPr>
              <w:t>5~10</w:t>
            </w:r>
          </w:p>
        </w:tc>
        <w:tc>
          <w:tcPr>
            <w:tcW w:w="1666" w:type="pct"/>
            <w:vAlign w:val="center"/>
          </w:tcPr>
          <w:p>
            <w:pPr>
              <w:adjustRightInd w:val="0"/>
              <w:snapToGrid w:val="0"/>
              <w:spacing w:line="240" w:lineRule="auto"/>
              <w:ind w:left="420" w:firstLine="420"/>
              <w:jc w:val="center"/>
              <w:rPr>
                <w:szCs w:val="21"/>
              </w:rPr>
            </w:pPr>
            <w:r>
              <w:rPr>
                <w:szCs w:val="21"/>
              </w:rPr>
              <w:t>0→2</w:t>
            </w:r>
          </w:p>
        </w:tc>
        <w:tc>
          <w:tcPr>
            <w:tcW w:w="1667" w:type="pct"/>
            <w:vAlign w:val="center"/>
          </w:tcPr>
          <w:p>
            <w:pPr>
              <w:adjustRightInd w:val="0"/>
              <w:snapToGrid w:val="0"/>
              <w:spacing w:line="240" w:lineRule="auto"/>
              <w:ind w:left="420" w:firstLine="420"/>
              <w:jc w:val="center"/>
              <w:rPr>
                <w:szCs w:val="21"/>
              </w:rPr>
            </w:pPr>
            <w:r>
              <w:rPr>
                <w:szCs w:val="21"/>
              </w:rPr>
              <w:t>100→98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2" w:hRule="atLeast"/>
          <w:jc w:val="center"/>
        </w:trPr>
        <w:tc>
          <w:tcPr>
            <w:tcW w:w="1666" w:type="pct"/>
            <w:vAlign w:val="center"/>
          </w:tcPr>
          <w:p>
            <w:pPr>
              <w:adjustRightInd w:val="0"/>
              <w:snapToGrid w:val="0"/>
              <w:spacing w:line="240" w:lineRule="auto"/>
              <w:ind w:left="420" w:firstLine="420"/>
              <w:jc w:val="center"/>
              <w:rPr>
                <w:szCs w:val="21"/>
              </w:rPr>
            </w:pPr>
            <w:r>
              <w:rPr>
                <w:szCs w:val="21"/>
              </w:rPr>
              <w:t>10~18</w:t>
            </w:r>
          </w:p>
        </w:tc>
        <w:tc>
          <w:tcPr>
            <w:tcW w:w="1666" w:type="pct"/>
            <w:vAlign w:val="center"/>
          </w:tcPr>
          <w:p>
            <w:pPr>
              <w:adjustRightInd w:val="0"/>
              <w:snapToGrid w:val="0"/>
              <w:spacing w:line="240" w:lineRule="auto"/>
              <w:ind w:left="420" w:firstLine="420"/>
              <w:jc w:val="center"/>
              <w:rPr>
                <w:szCs w:val="21"/>
              </w:rPr>
            </w:pPr>
            <w:r>
              <w:rPr>
                <w:szCs w:val="21"/>
              </w:rPr>
              <w:t>2→5</w:t>
            </w:r>
          </w:p>
        </w:tc>
        <w:tc>
          <w:tcPr>
            <w:tcW w:w="1667" w:type="pct"/>
            <w:vAlign w:val="center"/>
          </w:tcPr>
          <w:p>
            <w:pPr>
              <w:adjustRightInd w:val="0"/>
              <w:snapToGrid w:val="0"/>
              <w:spacing w:line="240" w:lineRule="auto"/>
              <w:ind w:left="420" w:firstLine="420"/>
              <w:jc w:val="center"/>
              <w:rPr>
                <w:szCs w:val="21"/>
              </w:rPr>
            </w:pPr>
            <w:r>
              <w:rPr>
                <w:szCs w:val="21"/>
              </w:rPr>
              <w:t>98→95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" w:hRule="atLeast"/>
          <w:jc w:val="center"/>
        </w:trPr>
        <w:tc>
          <w:tcPr>
            <w:tcW w:w="1666" w:type="pct"/>
            <w:vAlign w:val="center"/>
          </w:tcPr>
          <w:p>
            <w:pPr>
              <w:adjustRightInd w:val="0"/>
              <w:snapToGrid w:val="0"/>
              <w:spacing w:line="240" w:lineRule="auto"/>
              <w:ind w:left="420" w:firstLine="420"/>
              <w:jc w:val="center"/>
              <w:rPr>
                <w:szCs w:val="21"/>
              </w:rPr>
            </w:pPr>
            <w:r>
              <w:rPr>
                <w:szCs w:val="21"/>
              </w:rPr>
              <w:t>18~24</w:t>
            </w:r>
          </w:p>
        </w:tc>
        <w:tc>
          <w:tcPr>
            <w:tcW w:w="1666" w:type="pct"/>
            <w:vAlign w:val="center"/>
          </w:tcPr>
          <w:p>
            <w:pPr>
              <w:adjustRightInd w:val="0"/>
              <w:snapToGrid w:val="0"/>
              <w:spacing w:line="240" w:lineRule="auto"/>
              <w:ind w:left="420" w:firstLine="420"/>
              <w:jc w:val="center"/>
              <w:rPr>
                <w:szCs w:val="21"/>
              </w:rPr>
            </w:pPr>
            <w:r>
              <w:rPr>
                <w:szCs w:val="21"/>
              </w:rPr>
              <w:t>5→65</w:t>
            </w:r>
          </w:p>
        </w:tc>
        <w:tc>
          <w:tcPr>
            <w:tcW w:w="1667" w:type="pct"/>
            <w:vAlign w:val="center"/>
          </w:tcPr>
          <w:p>
            <w:pPr>
              <w:adjustRightInd w:val="0"/>
              <w:snapToGrid w:val="0"/>
              <w:spacing w:line="240" w:lineRule="auto"/>
              <w:ind w:left="420" w:firstLine="420"/>
              <w:jc w:val="center"/>
              <w:rPr>
                <w:szCs w:val="21"/>
              </w:rPr>
            </w:pPr>
            <w:r>
              <w:rPr>
                <w:szCs w:val="21"/>
              </w:rPr>
              <w:t>95→35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Lines="50"/>
        <w:ind w:firstLine="420"/>
        <w:textAlignment w:val="auto"/>
        <w:rPr>
          <w:szCs w:val="21"/>
        </w:rPr>
      </w:pPr>
      <w:r>
        <w:rPr>
          <w:rFonts w:hint="eastAsia" w:ascii="黑体" w:hAnsi="黑体" w:eastAsia="黑体" w:cs="黑体"/>
          <w:bCs/>
          <w:szCs w:val="21"/>
        </w:rPr>
        <w:t xml:space="preserve">参照物溶液的制备  </w:t>
      </w:r>
      <w:r>
        <w:rPr>
          <w:rFonts w:hint="eastAsia"/>
          <w:szCs w:val="21"/>
        </w:rPr>
        <w:t>取</w:t>
      </w:r>
      <w:r>
        <w:rPr>
          <w:color w:val="000000"/>
          <w:szCs w:val="24"/>
        </w:rPr>
        <w:t>白附子对照药材约1g，置具塞锥形瓶中，加水30ml，</w:t>
      </w:r>
      <w:r>
        <w:rPr>
          <w:szCs w:val="24"/>
        </w:rPr>
        <w:t>超声处理（功率300W，频率40kHz）60分钟</w:t>
      </w:r>
      <w:r>
        <w:rPr>
          <w:color w:val="000000"/>
          <w:szCs w:val="24"/>
        </w:rPr>
        <w:t>，摇匀，放冷，滤过，取续滤液，即得对照药材参照物溶液；</w:t>
      </w:r>
      <w:r>
        <w:rPr>
          <w:rFonts w:cs="Arial"/>
          <w:color w:val="000000"/>
          <w:szCs w:val="24"/>
        </w:rPr>
        <w:t>另取</w:t>
      </w:r>
      <w:r>
        <w:rPr>
          <w:rFonts w:hint="eastAsia" w:cs="Arial"/>
          <w:color w:val="000000"/>
          <w:szCs w:val="24"/>
        </w:rPr>
        <w:t>尿苷</w:t>
      </w:r>
      <w:r>
        <w:rPr>
          <w:rFonts w:cs="Arial"/>
          <w:color w:val="000000"/>
          <w:szCs w:val="24"/>
        </w:rPr>
        <w:t>对照品</w:t>
      </w:r>
      <w:r>
        <w:rPr>
          <w:rFonts w:hint="eastAsia" w:cs="Arial"/>
          <w:color w:val="000000"/>
          <w:szCs w:val="24"/>
        </w:rPr>
        <w:t>、鸟苷对照品适量，精密称定，分别加水制成每1ml各含</w:t>
      </w:r>
      <w:r>
        <w:rPr>
          <w:color w:val="000000"/>
          <w:szCs w:val="24"/>
        </w:rPr>
        <w:t>1μg</w:t>
      </w:r>
      <w:r>
        <w:rPr>
          <w:rFonts w:hint="eastAsia"/>
          <w:color w:val="000000"/>
          <w:szCs w:val="24"/>
        </w:rPr>
        <w:t>的溶液</w:t>
      </w:r>
      <w:r>
        <w:rPr>
          <w:rFonts w:hint="eastAsia"/>
          <w:color w:val="000000"/>
          <w:szCs w:val="21"/>
        </w:rPr>
        <w:t>，</w:t>
      </w:r>
      <w:r>
        <w:rPr>
          <w:rFonts w:hint="eastAsia"/>
          <w:szCs w:val="21"/>
        </w:rPr>
        <w:t>作为对照品参照物溶液。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ind w:firstLine="420"/>
        <w:textAlignment w:val="auto"/>
        <w:rPr>
          <w:color w:val="000000"/>
          <w:kern w:val="0"/>
          <w:szCs w:val="21"/>
        </w:rPr>
      </w:pPr>
      <w:r>
        <w:rPr>
          <w:rFonts w:hint="eastAsia" w:ascii="黑体" w:hAnsi="黑体" w:eastAsia="黑体" w:cs="黑体"/>
          <w:bCs/>
          <w:szCs w:val="21"/>
        </w:rPr>
        <w:t xml:space="preserve">供试品溶液的制备  </w:t>
      </w:r>
      <w:r>
        <w:rPr>
          <w:rFonts w:hint="eastAsia"/>
          <w:color w:val="000000"/>
          <w:kern w:val="0"/>
          <w:szCs w:val="21"/>
        </w:rPr>
        <w:t>同〔含量测定〕项。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ind w:firstLine="420"/>
        <w:textAlignment w:val="auto"/>
        <w:rPr>
          <w:color w:val="000000"/>
          <w:kern w:val="0"/>
          <w:szCs w:val="21"/>
        </w:rPr>
      </w:pPr>
      <w:r>
        <w:rPr>
          <w:rFonts w:hint="eastAsia" w:ascii="黑体" w:hAnsi="黑体" w:eastAsia="黑体" w:cs="黑体"/>
          <w:bCs/>
          <w:color w:val="000000"/>
          <w:kern w:val="0"/>
          <w:szCs w:val="21"/>
        </w:rPr>
        <w:t xml:space="preserve">测定法  </w:t>
      </w:r>
      <w:r>
        <w:rPr>
          <w:rFonts w:hint="eastAsia"/>
          <w:color w:val="000000"/>
          <w:kern w:val="0"/>
          <w:szCs w:val="21"/>
        </w:rPr>
        <w:t>分别精密吸取参照物溶液与供试品溶液各3</w:t>
      </w:r>
      <w:r>
        <w:rPr>
          <w:szCs w:val="21"/>
        </w:rPr>
        <w:t>μ</w:t>
      </w:r>
      <w:r>
        <w:rPr>
          <w:color w:val="000000"/>
          <w:kern w:val="0"/>
          <w:szCs w:val="21"/>
        </w:rPr>
        <w:t>l</w:t>
      </w:r>
      <w:r>
        <w:rPr>
          <w:rFonts w:hint="eastAsia"/>
          <w:color w:val="000000"/>
          <w:kern w:val="0"/>
          <w:szCs w:val="21"/>
        </w:rPr>
        <w:t>，注入液相色谱仪，测定，即得。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ind w:firstLine="420"/>
        <w:jc w:val="left"/>
        <w:textAlignment w:val="auto"/>
        <w:rPr>
          <w:color w:val="000000"/>
          <w:kern w:val="0"/>
          <w:szCs w:val="21"/>
        </w:rPr>
      </w:pPr>
      <w:r>
        <w:rPr>
          <w:rFonts w:hint="eastAsia"/>
          <w:color w:val="000000"/>
          <w:kern w:val="0"/>
          <w:szCs w:val="21"/>
        </w:rPr>
        <w:t>供试品色谱中</w:t>
      </w:r>
      <w:r>
        <w:rPr>
          <w:color w:val="000000"/>
          <w:szCs w:val="24"/>
        </w:rPr>
        <w:t>应呈现7个特征峰，</w:t>
      </w:r>
      <w:r>
        <w:rPr>
          <w:szCs w:val="24"/>
        </w:rPr>
        <w:t>并应与对照药材参照物色谱峰中的7个特征峰保留时间相对应，</w:t>
      </w:r>
      <w:r>
        <w:rPr>
          <w:rFonts w:hint="eastAsia" w:cs="Arial"/>
          <w:color w:val="000000"/>
          <w:szCs w:val="24"/>
        </w:rPr>
        <w:t>其中峰3、峰5应分别与尿苷、鸟苷对照品参照物保留时间相对应，与尿苷对照品参照物相对应的峰为S1峰，计算峰1、峰2、峰4与S1峰的相对保留时间，与鸟苷对照品参照物相对应的峰为S2峰，计算峰6、峰7与S2峰的相对保留时间，其相对保留时间均应在规定值的±10%范围之内，规定值为：0.52（峰1）、0.82（峰2）、1.35（峰4）、1.06（峰6）、1.10（峰7</w:t>
      </w:r>
      <w:r>
        <w:rPr>
          <w:rFonts w:hint="eastAsia"/>
          <w:color w:val="000000"/>
          <w:kern w:val="0"/>
          <w:szCs w:val="21"/>
        </w:rPr>
        <w:t>）。</w:t>
      </w:r>
    </w:p>
    <w:p>
      <w:pPr>
        <w:widowControl/>
        <w:ind w:firstLine="0" w:firstLineChars="0"/>
        <w:jc w:val="center"/>
        <w:rPr>
          <w:bCs/>
          <w:szCs w:val="21"/>
        </w:rPr>
      </w:pPr>
      <w:r>
        <w:rPr>
          <w:szCs w:val="21"/>
        </w:rPr>
        <w:drawing>
          <wp:inline distT="0" distB="0" distL="0" distR="0">
            <wp:extent cx="5219700" cy="2120265"/>
            <wp:effectExtent l="0" t="0" r="0" b="13335"/>
            <wp:docPr id="4" name="图片 47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79"/>
                    <pic:cNvPicPr>
                      <a:picLocks noChangeArrowheads="1"/>
                    </pic:cNvPicPr>
                  </pic:nvPicPr>
                  <pic:blipFill>
                    <a:blip r:embed="rId12" cstate="print"/>
                    <a:srcRect r="6712"/>
                    <a:stretch>
                      <a:fillRect/>
                    </a:stretch>
                  </pic:blipFill>
                  <pic:spPr>
                    <a:xfrm>
                      <a:off x="0" y="0"/>
                      <a:ext cx="5219700" cy="21202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Start w:id="7" w:name="_GoBack"/>
      <w:bookmarkEnd w:id="7"/>
    </w:p>
    <w:p>
      <w:pPr>
        <w:widowControl/>
        <w:snapToGrid w:val="0"/>
        <w:ind w:firstLine="0" w:firstLineChars="0"/>
        <w:jc w:val="center"/>
        <w:rPr>
          <w:b/>
          <w:szCs w:val="21"/>
        </w:rPr>
      </w:pPr>
      <w:r>
        <w:rPr>
          <w:rFonts w:hint="eastAsia"/>
          <w:b/>
          <w:szCs w:val="21"/>
        </w:rPr>
        <w:t>对照特征图谱</w:t>
      </w:r>
    </w:p>
    <w:p>
      <w:pPr>
        <w:widowControl/>
        <w:snapToGrid w:val="0"/>
        <w:spacing w:line="276" w:lineRule="auto"/>
        <w:ind w:firstLine="0" w:firstLineChars="0"/>
        <w:jc w:val="center"/>
        <w:rPr>
          <w:bCs/>
          <w:sz w:val="18"/>
          <w:szCs w:val="18"/>
        </w:rPr>
      </w:pPr>
      <w:r>
        <w:rPr>
          <w:bCs/>
          <w:sz w:val="18"/>
          <w:szCs w:val="18"/>
        </w:rPr>
        <w:t>峰3（S</w:t>
      </w:r>
      <w:r>
        <w:rPr>
          <w:rFonts w:hint="eastAsia"/>
          <w:bCs/>
          <w:sz w:val="18"/>
          <w:szCs w:val="18"/>
        </w:rPr>
        <w:t>1</w:t>
      </w:r>
      <w:r>
        <w:rPr>
          <w:bCs/>
          <w:sz w:val="18"/>
          <w:szCs w:val="18"/>
        </w:rPr>
        <w:t>）：尿苷</w:t>
      </w:r>
      <w:r>
        <w:rPr>
          <w:rFonts w:hint="eastAsia"/>
          <w:bCs/>
          <w:sz w:val="18"/>
          <w:szCs w:val="18"/>
        </w:rPr>
        <w:t>；峰4：腺苷；峰5</w:t>
      </w:r>
      <w:r>
        <w:rPr>
          <w:bCs/>
          <w:sz w:val="18"/>
          <w:szCs w:val="18"/>
        </w:rPr>
        <w:t>（S</w:t>
      </w:r>
      <w:r>
        <w:rPr>
          <w:rFonts w:hint="eastAsia"/>
          <w:bCs/>
          <w:sz w:val="18"/>
          <w:szCs w:val="18"/>
        </w:rPr>
        <w:t>2</w:t>
      </w:r>
      <w:r>
        <w:rPr>
          <w:bCs/>
          <w:sz w:val="18"/>
          <w:szCs w:val="18"/>
        </w:rPr>
        <w:t>）</w:t>
      </w:r>
      <w:r>
        <w:rPr>
          <w:rFonts w:hint="eastAsia"/>
          <w:bCs/>
          <w:sz w:val="18"/>
          <w:szCs w:val="18"/>
        </w:rPr>
        <w:t>：鸟苷；峰</w:t>
      </w:r>
      <w:r>
        <w:rPr>
          <w:bCs/>
          <w:sz w:val="18"/>
          <w:szCs w:val="18"/>
        </w:rPr>
        <w:t>7</w:t>
      </w:r>
      <w:r>
        <w:rPr>
          <w:rFonts w:hint="eastAsia"/>
          <w:bCs/>
          <w:sz w:val="18"/>
          <w:szCs w:val="18"/>
        </w:rPr>
        <w:t>：5</w:t>
      </w:r>
      <w:r>
        <w:rPr>
          <w:bCs/>
          <w:sz w:val="18"/>
          <w:szCs w:val="18"/>
        </w:rPr>
        <w:t>-</w:t>
      </w:r>
      <w:r>
        <w:rPr>
          <w:rFonts w:hint="eastAsia"/>
          <w:bCs/>
          <w:sz w:val="18"/>
          <w:szCs w:val="18"/>
        </w:rPr>
        <w:t>羟甲基糠醛</w:t>
      </w:r>
    </w:p>
    <w:p>
      <w:pPr>
        <w:snapToGrid w:val="0"/>
        <w:spacing w:afterLines="50" w:line="276" w:lineRule="auto"/>
        <w:ind w:firstLine="0" w:firstLineChars="0"/>
        <w:jc w:val="center"/>
        <w:rPr>
          <w:bCs/>
          <w:sz w:val="18"/>
          <w:szCs w:val="18"/>
        </w:rPr>
      </w:pPr>
      <w:r>
        <w:rPr>
          <w:bCs/>
          <w:sz w:val="18"/>
          <w:szCs w:val="18"/>
        </w:rPr>
        <w:t>参考色谱柱：</w:t>
      </w:r>
      <w:r>
        <w:rPr>
          <w:rFonts w:hint="eastAsia"/>
          <w:bCs/>
          <w:sz w:val="18"/>
          <w:szCs w:val="18"/>
        </w:rPr>
        <w:t xml:space="preserve"> Waters UPLC Acquity</w:t>
      </w:r>
      <w:r>
        <w:rPr>
          <w:szCs w:val="21"/>
        </w:rPr>
        <w:t xml:space="preserve"> </w:t>
      </w:r>
      <w:r>
        <w:rPr>
          <w:bCs/>
          <w:sz w:val="18"/>
          <w:szCs w:val="18"/>
        </w:rPr>
        <w:t>HSS T3，2.1mm×1</w:t>
      </w:r>
      <w:r>
        <w:rPr>
          <w:rFonts w:hint="eastAsia"/>
          <w:bCs/>
          <w:sz w:val="18"/>
          <w:szCs w:val="18"/>
        </w:rPr>
        <w:t>5</w:t>
      </w:r>
      <w:r>
        <w:rPr>
          <w:bCs/>
          <w:sz w:val="18"/>
          <w:szCs w:val="18"/>
        </w:rPr>
        <w:t>0mm，</w:t>
      </w:r>
      <w:r>
        <w:rPr>
          <w:rFonts w:hint="eastAsia"/>
          <w:bCs/>
          <w:sz w:val="18"/>
          <w:szCs w:val="18"/>
        </w:rPr>
        <w:t>1.8</w:t>
      </w:r>
      <w:r>
        <w:rPr>
          <w:szCs w:val="21"/>
        </w:rPr>
        <w:t>μ</w:t>
      </w:r>
      <w:r>
        <w:rPr>
          <w:bCs/>
          <w:sz w:val="18"/>
          <w:szCs w:val="18"/>
        </w:rPr>
        <w:t>m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ind w:firstLine="420"/>
        <w:textAlignment w:val="auto"/>
        <w:rPr>
          <w:bCs/>
          <w:kern w:val="0"/>
          <w:szCs w:val="21"/>
        </w:rPr>
      </w:pPr>
      <w:r>
        <w:rPr>
          <w:rFonts w:eastAsia="黑体"/>
          <w:bCs/>
          <w:szCs w:val="21"/>
        </w:rPr>
        <w:t>【检查】</w:t>
      </w:r>
      <w:r>
        <w:rPr>
          <w:rFonts w:hint="eastAsia" w:eastAsia="黑体"/>
          <w:bCs/>
          <w:szCs w:val="21"/>
        </w:rPr>
        <w:t xml:space="preserve">  </w:t>
      </w:r>
      <w:r>
        <w:rPr>
          <w:rFonts w:hint="eastAsia"/>
          <w:bCs/>
          <w:kern w:val="0"/>
          <w:szCs w:val="21"/>
        </w:rPr>
        <w:t>应符合颗粒剂项下有关的各项规定（中国药典</w:t>
      </w:r>
      <w:r>
        <w:rPr>
          <w:bCs/>
          <w:kern w:val="0"/>
          <w:szCs w:val="21"/>
        </w:rPr>
        <w:t>2020</w:t>
      </w:r>
      <w:r>
        <w:rPr>
          <w:rFonts w:hint="eastAsia"/>
          <w:bCs/>
          <w:kern w:val="0"/>
          <w:szCs w:val="21"/>
        </w:rPr>
        <w:t>年版通则</w:t>
      </w:r>
      <w:r>
        <w:rPr>
          <w:bCs/>
          <w:kern w:val="0"/>
          <w:szCs w:val="21"/>
        </w:rPr>
        <w:t>0104</w:t>
      </w:r>
      <w:r>
        <w:rPr>
          <w:rFonts w:hint="eastAsia"/>
          <w:bCs/>
          <w:kern w:val="0"/>
          <w:szCs w:val="21"/>
        </w:rPr>
        <w:t>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ind w:firstLine="422"/>
        <w:textAlignment w:val="auto"/>
        <w:rPr>
          <w:bCs/>
          <w:kern w:val="0"/>
          <w:szCs w:val="21"/>
        </w:rPr>
      </w:pPr>
      <w:r>
        <w:rPr>
          <w:rFonts w:hint="eastAsia"/>
          <w:b/>
          <w:bCs/>
          <w:kern w:val="0"/>
          <w:szCs w:val="21"/>
        </w:rPr>
        <w:t xml:space="preserve">白矾限量 </w:t>
      </w:r>
      <w:r>
        <w:rPr>
          <w:rFonts w:hint="eastAsia"/>
          <w:bCs/>
          <w:kern w:val="0"/>
          <w:szCs w:val="21"/>
        </w:rPr>
        <w:t>取本品粉末(过四号筛)约5g，精密称定，置甜埚中，缓缓炽热，至完全炭化时，逐渐升高温度至450℃，灰化4小时，取出，放冷，在坩埚中小心加入稀盐酸约10ml，用表面四覆盖坩埚，置水浴上加热10分钟，表面用用热水5m中洗，洗液并入坩埚中，滤过，用水</w:t>
      </w:r>
      <w:r>
        <w:rPr>
          <w:bCs/>
          <w:kern w:val="0"/>
          <w:szCs w:val="21"/>
        </w:rPr>
        <w:t>10</w:t>
      </w:r>
      <w:r>
        <w:rPr>
          <w:rFonts w:hint="eastAsia"/>
          <w:bCs/>
          <w:kern w:val="0"/>
          <w:szCs w:val="21"/>
        </w:rPr>
        <w:t>0ml分次洗涤坩埚及滤渣，合并滤液及洗液，加0.025%用其红乙醇溶液1滴，滴加氨低液至溶液显微黄色。加醋酸-醋酸铵缓冲液(pH6.0)20ml.精密加乙二胺四醋酸二钠滴定液(0.05molL)25ml，煮沸3~5分钟，放冷，加二甲酚橙指示液1ml，用锌滴定液(0.05molL)滴定至溶液自黄色转变为红色，并将滴定的结果用空白试验校正。每1ml的乙二胺四醋酸一钠滴定满(0.05molL)相当+23.72me的含水硫酸铝钾(KA(SO1)210H6O)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ind w:firstLine="420"/>
        <w:textAlignment w:val="auto"/>
        <w:rPr>
          <w:b/>
          <w:bCs/>
          <w:kern w:val="0"/>
          <w:szCs w:val="21"/>
        </w:rPr>
      </w:pPr>
      <w:r>
        <w:rPr>
          <w:rFonts w:hint="eastAsia"/>
          <w:bCs/>
          <w:kern w:val="0"/>
          <w:szCs w:val="21"/>
        </w:rPr>
        <w:t>本品含白矾以含水硫酸铝钾(KA(SO1)210H6O)计，不得过5</w:t>
      </w:r>
      <w:r>
        <w:rPr>
          <w:bCs/>
          <w:kern w:val="0"/>
          <w:szCs w:val="21"/>
        </w:rPr>
        <w:t>.0%</w:t>
      </w:r>
      <w:r>
        <w:rPr>
          <w:rFonts w:hint="eastAsia"/>
          <w:bCs/>
          <w:kern w:val="0"/>
          <w:szCs w:val="21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ind w:firstLine="420"/>
        <w:textAlignment w:val="auto"/>
        <w:rPr>
          <w:bCs/>
          <w:szCs w:val="21"/>
        </w:rPr>
      </w:pPr>
      <w:r>
        <w:rPr>
          <w:rFonts w:eastAsia="黑体"/>
          <w:bCs/>
          <w:szCs w:val="21"/>
        </w:rPr>
        <w:t>【浸出物】</w:t>
      </w:r>
      <w:r>
        <w:rPr>
          <w:rFonts w:hint="eastAsia" w:eastAsia="黑体"/>
          <w:bCs/>
          <w:szCs w:val="21"/>
        </w:rPr>
        <w:t xml:space="preserve">  </w:t>
      </w:r>
      <w:r>
        <w:rPr>
          <w:rFonts w:hint="eastAsia"/>
          <w:bCs/>
          <w:kern w:val="0"/>
          <w:szCs w:val="21"/>
        </w:rPr>
        <w:t>取本品适量，研细，取约</w:t>
      </w:r>
      <w:r>
        <w:rPr>
          <w:bCs/>
          <w:kern w:val="0"/>
          <w:szCs w:val="21"/>
        </w:rPr>
        <w:t>2g</w:t>
      </w:r>
      <w:r>
        <w:rPr>
          <w:rFonts w:hint="eastAsia"/>
          <w:bCs/>
          <w:kern w:val="0"/>
          <w:szCs w:val="21"/>
        </w:rPr>
        <w:t>，精密称定，精密加入乙醇5</w:t>
      </w:r>
      <w:r>
        <w:rPr>
          <w:bCs/>
          <w:kern w:val="0"/>
          <w:szCs w:val="21"/>
        </w:rPr>
        <w:t>0ml</w:t>
      </w:r>
      <w:r>
        <w:rPr>
          <w:rFonts w:hint="eastAsia"/>
          <w:bCs/>
          <w:kern w:val="0"/>
          <w:szCs w:val="21"/>
        </w:rPr>
        <w:t>，照醇溶性浸出物测定法（中国药典</w:t>
      </w:r>
      <w:r>
        <w:rPr>
          <w:bCs/>
          <w:kern w:val="0"/>
          <w:szCs w:val="21"/>
        </w:rPr>
        <w:t>2020</w:t>
      </w:r>
      <w:r>
        <w:rPr>
          <w:rFonts w:hint="eastAsia"/>
          <w:bCs/>
          <w:kern w:val="0"/>
          <w:szCs w:val="21"/>
        </w:rPr>
        <w:t>年版通则</w:t>
      </w:r>
      <w:r>
        <w:rPr>
          <w:bCs/>
          <w:kern w:val="0"/>
          <w:szCs w:val="21"/>
        </w:rPr>
        <w:t>2201</w:t>
      </w:r>
      <w:r>
        <w:rPr>
          <w:rFonts w:hint="eastAsia"/>
          <w:bCs/>
          <w:kern w:val="0"/>
          <w:szCs w:val="21"/>
        </w:rPr>
        <w:t>）项下的热浸法测定</w:t>
      </w:r>
      <w:r>
        <w:rPr>
          <w:rFonts w:hint="eastAsia"/>
          <w:bCs/>
          <w:szCs w:val="21"/>
        </w:rPr>
        <w:t>，不得少于1</w:t>
      </w:r>
      <w:r>
        <w:rPr>
          <w:bCs/>
          <w:szCs w:val="21"/>
        </w:rPr>
        <w:t>.</w:t>
      </w:r>
      <w:r>
        <w:rPr>
          <w:rFonts w:hint="eastAsia"/>
          <w:bCs/>
          <w:szCs w:val="21"/>
        </w:rPr>
        <w:t>5</w:t>
      </w:r>
      <w:r>
        <w:rPr>
          <w:bCs/>
          <w:szCs w:val="21"/>
        </w:rPr>
        <w:t>%</w:t>
      </w:r>
      <w:r>
        <w:rPr>
          <w:rFonts w:hint="eastAsia"/>
          <w:bCs/>
          <w:szCs w:val="21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ind w:firstLine="420"/>
        <w:textAlignment w:val="auto"/>
        <w:rPr>
          <w:bCs/>
          <w:szCs w:val="21"/>
        </w:rPr>
      </w:pPr>
      <w:r>
        <w:rPr>
          <w:rFonts w:eastAsia="黑体"/>
          <w:bCs/>
          <w:szCs w:val="21"/>
        </w:rPr>
        <w:t>【含量测定】</w:t>
      </w:r>
      <w:r>
        <w:rPr>
          <w:rFonts w:hint="eastAsia" w:eastAsia="黑体"/>
          <w:bCs/>
          <w:szCs w:val="21"/>
        </w:rPr>
        <w:t xml:space="preserve">  </w:t>
      </w:r>
      <w:r>
        <w:rPr>
          <w:rFonts w:hint="eastAsia"/>
          <w:bCs/>
          <w:szCs w:val="21"/>
        </w:rPr>
        <w:t>照高效液相色谱法（中国药典</w:t>
      </w:r>
      <w:r>
        <w:rPr>
          <w:bCs/>
          <w:szCs w:val="21"/>
        </w:rPr>
        <w:t>2020</w:t>
      </w:r>
      <w:r>
        <w:rPr>
          <w:rFonts w:hint="eastAsia"/>
          <w:bCs/>
          <w:szCs w:val="21"/>
        </w:rPr>
        <w:t>年版通则</w:t>
      </w:r>
      <w:r>
        <w:rPr>
          <w:bCs/>
          <w:szCs w:val="21"/>
        </w:rPr>
        <w:t>0512</w:t>
      </w:r>
      <w:r>
        <w:rPr>
          <w:rFonts w:hint="eastAsia"/>
          <w:bCs/>
          <w:szCs w:val="21"/>
        </w:rPr>
        <w:t>）测定。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ind w:firstLine="420"/>
        <w:textAlignment w:val="auto"/>
        <w:rPr>
          <w:bCs/>
          <w:szCs w:val="21"/>
        </w:rPr>
      </w:pPr>
      <w:r>
        <w:rPr>
          <w:rFonts w:eastAsia="黑体"/>
          <w:bCs/>
          <w:szCs w:val="21"/>
        </w:rPr>
        <w:t>色谱条件与系统适用性试验</w:t>
      </w:r>
      <w:r>
        <w:rPr>
          <w:rFonts w:hint="eastAsia" w:eastAsia="黑体"/>
          <w:bCs/>
          <w:szCs w:val="21"/>
        </w:rPr>
        <w:t xml:space="preserve">  </w:t>
      </w:r>
      <w:r>
        <w:rPr>
          <w:rFonts w:hint="eastAsia"/>
          <w:bCs/>
          <w:szCs w:val="21"/>
        </w:rPr>
        <w:t>以十八烷基硅烷键合硅胶为填充剂（柱长为</w:t>
      </w:r>
      <w:r>
        <w:rPr>
          <w:bCs/>
          <w:szCs w:val="21"/>
        </w:rPr>
        <w:t>1</w:t>
      </w:r>
      <w:r>
        <w:rPr>
          <w:rFonts w:hint="eastAsia"/>
          <w:bCs/>
          <w:szCs w:val="21"/>
        </w:rPr>
        <w:t>5</w:t>
      </w:r>
      <w:r>
        <w:rPr>
          <w:bCs/>
          <w:szCs w:val="21"/>
        </w:rPr>
        <w:t>0mm</w:t>
      </w:r>
      <w:r>
        <w:rPr>
          <w:rFonts w:hint="eastAsia"/>
          <w:bCs/>
          <w:szCs w:val="21"/>
        </w:rPr>
        <w:t>，内径为</w:t>
      </w:r>
      <w:r>
        <w:rPr>
          <w:bCs/>
          <w:szCs w:val="21"/>
        </w:rPr>
        <w:t>2.1mm</w:t>
      </w:r>
      <w:r>
        <w:rPr>
          <w:rFonts w:hint="eastAsia"/>
          <w:bCs/>
          <w:szCs w:val="21"/>
        </w:rPr>
        <w:t>，粒径为</w:t>
      </w:r>
      <w:r>
        <w:rPr>
          <w:bCs/>
          <w:szCs w:val="21"/>
        </w:rPr>
        <w:t>1.</w:t>
      </w:r>
      <w:r>
        <w:rPr>
          <w:rFonts w:hint="eastAsia"/>
          <w:bCs/>
          <w:szCs w:val="21"/>
        </w:rPr>
        <w:t>8</w:t>
      </w:r>
      <w:r>
        <w:rPr>
          <w:szCs w:val="21"/>
        </w:rPr>
        <w:t>μ</w:t>
      </w:r>
      <w:r>
        <w:rPr>
          <w:bCs/>
          <w:szCs w:val="21"/>
        </w:rPr>
        <w:t>m)</w:t>
      </w:r>
      <w:r>
        <w:rPr>
          <w:rFonts w:hint="eastAsia"/>
          <w:bCs/>
          <w:szCs w:val="21"/>
        </w:rPr>
        <w:t>；以</w:t>
      </w:r>
      <w:r>
        <w:rPr>
          <w:bCs/>
          <w:szCs w:val="21"/>
        </w:rPr>
        <w:t>乙腈为流动相A，以0.1%磷酸溶液为流动相B，按下表中的规定进行梯度洗脱；流速为每分钟0.3ml；</w:t>
      </w:r>
      <w:r>
        <w:rPr>
          <w:rFonts w:hint="eastAsia"/>
          <w:bCs/>
          <w:szCs w:val="21"/>
        </w:rPr>
        <w:t>柱温为</w:t>
      </w:r>
      <w:r>
        <w:rPr>
          <w:bCs/>
          <w:szCs w:val="21"/>
        </w:rPr>
        <w:t>30</w:t>
      </w:r>
      <w:r>
        <w:rPr>
          <w:rFonts w:hint="eastAsia" w:ascii="宋体" w:hAnsi="宋体" w:cs="宋体"/>
          <w:bCs/>
          <w:szCs w:val="21"/>
        </w:rPr>
        <w:t>℃</w:t>
      </w:r>
      <w:r>
        <w:rPr>
          <w:rFonts w:hint="eastAsia"/>
          <w:bCs/>
          <w:szCs w:val="21"/>
        </w:rPr>
        <w:t>；</w:t>
      </w:r>
      <w:r>
        <w:rPr>
          <w:bCs/>
          <w:szCs w:val="21"/>
        </w:rPr>
        <w:t>检测波长为260nm；理论板数按尿苷</w:t>
      </w:r>
      <w:r>
        <w:rPr>
          <w:rFonts w:hint="eastAsia"/>
          <w:bCs/>
          <w:szCs w:val="21"/>
        </w:rPr>
        <w:t>峰</w:t>
      </w:r>
      <w:r>
        <w:rPr>
          <w:bCs/>
          <w:szCs w:val="21"/>
        </w:rPr>
        <w:t>计算应不低于5000</w:t>
      </w:r>
      <w:r>
        <w:rPr>
          <w:rFonts w:hint="eastAsia"/>
          <w:bCs/>
          <w:szCs w:val="21"/>
        </w:rPr>
        <w:t>。</w:t>
      </w:r>
    </w:p>
    <w:p>
      <w:pPr>
        <w:keepNext w:val="0"/>
        <w:keepLines w:val="0"/>
        <w:pageBreakBefore w:val="0"/>
        <w:widowControl w:val="0"/>
        <w:tabs>
          <w:tab w:val="left" w:pos="55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ind w:firstLine="420"/>
        <w:textAlignment w:val="auto"/>
        <w:rPr>
          <w:bCs/>
          <w:szCs w:val="21"/>
        </w:rPr>
      </w:pPr>
      <w:r>
        <w:rPr>
          <w:rFonts w:eastAsia="黑体"/>
          <w:bCs/>
          <w:szCs w:val="21"/>
        </w:rPr>
        <w:t>对照品溶液的制备</w:t>
      </w:r>
      <w:r>
        <w:rPr>
          <w:rFonts w:hint="eastAsia" w:eastAsia="黑体"/>
          <w:bCs/>
          <w:szCs w:val="21"/>
        </w:rPr>
        <w:t xml:space="preserve">  </w:t>
      </w:r>
      <w:r>
        <w:rPr>
          <w:rFonts w:hint="eastAsia"/>
          <w:bCs/>
          <w:color w:val="000000"/>
          <w:szCs w:val="21"/>
        </w:rPr>
        <w:t>取</w:t>
      </w:r>
      <w:r>
        <w:rPr>
          <w:bCs/>
          <w:color w:val="000000"/>
          <w:szCs w:val="21"/>
        </w:rPr>
        <w:t>尿苷对照品适量，精密称定，加水制成每1ml含1μg的溶液</w:t>
      </w:r>
      <w:r>
        <w:rPr>
          <w:rFonts w:hint="eastAsia"/>
          <w:bCs/>
          <w:color w:val="000000"/>
          <w:szCs w:val="21"/>
        </w:rPr>
        <w:t>，即得。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ind w:firstLine="420"/>
        <w:textAlignment w:val="auto"/>
        <w:rPr>
          <w:bCs/>
          <w:szCs w:val="21"/>
        </w:rPr>
      </w:pPr>
      <w:r>
        <w:rPr>
          <w:rFonts w:eastAsia="黑体"/>
          <w:bCs/>
          <w:szCs w:val="21"/>
        </w:rPr>
        <w:t>供试品溶液的制备</w:t>
      </w:r>
      <w:r>
        <w:rPr>
          <w:rFonts w:hint="eastAsia" w:eastAsia="黑体"/>
          <w:bCs/>
          <w:szCs w:val="21"/>
        </w:rPr>
        <w:t xml:space="preserve">  </w:t>
      </w:r>
      <w:r>
        <w:rPr>
          <w:rFonts w:hint="eastAsia"/>
          <w:bCs/>
          <w:szCs w:val="21"/>
        </w:rPr>
        <w:t>取本品</w:t>
      </w:r>
      <w:r>
        <w:rPr>
          <w:bCs/>
          <w:szCs w:val="21"/>
        </w:rPr>
        <w:t>适量，研细，取约0.</w:t>
      </w:r>
      <w:r>
        <w:rPr>
          <w:rFonts w:hint="eastAsia"/>
          <w:bCs/>
          <w:szCs w:val="21"/>
        </w:rPr>
        <w:t>5</w:t>
      </w:r>
      <w:r>
        <w:rPr>
          <w:bCs/>
          <w:szCs w:val="21"/>
        </w:rPr>
        <w:t>g，精密称定，置具塞锥形瓶中，精密加水30ml，密塞，称定重量，超声处理（功率300W，频率40kHz）</w:t>
      </w:r>
      <w:r>
        <w:rPr>
          <w:rFonts w:hint="eastAsia"/>
          <w:bCs/>
          <w:szCs w:val="21"/>
        </w:rPr>
        <w:t>2</w:t>
      </w:r>
      <w:r>
        <w:rPr>
          <w:bCs/>
          <w:szCs w:val="21"/>
        </w:rPr>
        <w:t>0分钟，</w:t>
      </w:r>
      <w:r>
        <w:rPr>
          <w:rFonts w:hint="eastAsia"/>
          <w:bCs/>
          <w:szCs w:val="21"/>
        </w:rPr>
        <w:t>取出，</w:t>
      </w:r>
      <w:r>
        <w:rPr>
          <w:bCs/>
          <w:szCs w:val="21"/>
        </w:rPr>
        <w:t>放冷，</w:t>
      </w:r>
      <w:r>
        <w:rPr>
          <w:rFonts w:hint="eastAsia"/>
          <w:bCs/>
          <w:szCs w:val="21"/>
        </w:rPr>
        <w:t>再</w:t>
      </w:r>
      <w:r>
        <w:rPr>
          <w:bCs/>
          <w:szCs w:val="21"/>
        </w:rPr>
        <w:t>称定重量，用水补足减失</w:t>
      </w:r>
      <w:r>
        <w:rPr>
          <w:rFonts w:hint="eastAsia"/>
          <w:bCs/>
          <w:szCs w:val="21"/>
        </w:rPr>
        <w:t>的</w:t>
      </w:r>
      <w:r>
        <w:rPr>
          <w:bCs/>
          <w:szCs w:val="21"/>
        </w:rPr>
        <w:t>重量，摇匀，滤过，取续滤液</w:t>
      </w:r>
      <w:r>
        <w:rPr>
          <w:rFonts w:hint="eastAsia"/>
          <w:bCs/>
          <w:kern w:val="0"/>
          <w:szCs w:val="21"/>
        </w:rPr>
        <w:t>，即得。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ind w:firstLine="420"/>
        <w:textAlignment w:val="auto"/>
        <w:rPr>
          <w:bCs/>
          <w:szCs w:val="21"/>
        </w:rPr>
      </w:pPr>
      <w:r>
        <w:rPr>
          <w:rFonts w:eastAsia="黑体"/>
          <w:bCs/>
          <w:szCs w:val="21"/>
        </w:rPr>
        <w:t>测定法</w:t>
      </w:r>
      <w:r>
        <w:rPr>
          <w:rFonts w:hint="eastAsia" w:eastAsia="黑体"/>
          <w:bCs/>
          <w:szCs w:val="21"/>
        </w:rPr>
        <w:t xml:space="preserve">  </w:t>
      </w:r>
      <w:r>
        <w:rPr>
          <w:rFonts w:hint="eastAsia"/>
          <w:bCs/>
          <w:szCs w:val="21"/>
        </w:rPr>
        <w:t>分别精密吸取对照品溶液与供试品溶液各3</w:t>
      </w:r>
      <w:r>
        <w:rPr>
          <w:szCs w:val="21"/>
        </w:rPr>
        <w:t>μ</w:t>
      </w:r>
      <w:r>
        <w:rPr>
          <w:bCs/>
          <w:spacing w:val="4"/>
          <w:szCs w:val="21"/>
        </w:rPr>
        <w:t>l</w:t>
      </w:r>
      <w:r>
        <w:rPr>
          <w:rFonts w:hint="eastAsia"/>
          <w:bCs/>
          <w:szCs w:val="21"/>
        </w:rPr>
        <w:t>，注入液相色谱仪，测定，即得。</w:t>
      </w:r>
    </w:p>
    <w:p>
      <w:pPr>
        <w:keepNext w:val="0"/>
        <w:keepLines w:val="0"/>
        <w:pageBreakBefore w:val="0"/>
        <w:widowControl w:val="0"/>
        <w:tabs>
          <w:tab w:val="left" w:pos="6866"/>
        </w:tabs>
        <w:kinsoku/>
        <w:wordWrap/>
        <w:overflowPunct/>
        <w:topLinePunct w:val="0"/>
        <w:autoSpaceDE/>
        <w:autoSpaceDN/>
        <w:bidi w:val="0"/>
        <w:adjustRightInd/>
        <w:snapToGrid w:val="0"/>
        <w:ind w:firstLine="420"/>
        <w:textAlignment w:val="auto"/>
        <w:rPr>
          <w:bCs/>
          <w:szCs w:val="21"/>
        </w:rPr>
      </w:pPr>
      <w:r>
        <w:rPr>
          <w:rFonts w:hint="eastAsia"/>
          <w:bCs/>
          <w:szCs w:val="21"/>
        </w:rPr>
        <w:t>本品每</w:t>
      </w:r>
      <w:r>
        <w:rPr>
          <w:bCs/>
          <w:szCs w:val="21"/>
        </w:rPr>
        <w:t>1g</w:t>
      </w:r>
      <w:r>
        <w:rPr>
          <w:rFonts w:hint="eastAsia"/>
          <w:bCs/>
          <w:szCs w:val="21"/>
        </w:rPr>
        <w:t>含</w:t>
      </w:r>
      <w:r>
        <w:rPr>
          <w:szCs w:val="24"/>
        </w:rPr>
        <w:t>尿苷（</w:t>
      </w:r>
      <w:r>
        <w:rPr>
          <w:color w:val="000000"/>
          <w:kern w:val="0"/>
          <w:szCs w:val="24"/>
        </w:rPr>
        <w:t>C</w:t>
      </w:r>
      <w:r>
        <w:rPr>
          <w:color w:val="000000"/>
          <w:kern w:val="0"/>
          <w:szCs w:val="24"/>
          <w:vertAlign w:val="subscript"/>
        </w:rPr>
        <w:t>9</w:t>
      </w:r>
      <w:r>
        <w:rPr>
          <w:color w:val="000000"/>
          <w:kern w:val="0"/>
          <w:szCs w:val="24"/>
        </w:rPr>
        <w:t>H</w:t>
      </w:r>
      <w:r>
        <w:rPr>
          <w:color w:val="000000"/>
          <w:kern w:val="0"/>
          <w:szCs w:val="24"/>
          <w:vertAlign w:val="subscript"/>
        </w:rPr>
        <w:t>12</w:t>
      </w:r>
      <w:r>
        <w:rPr>
          <w:color w:val="000000"/>
          <w:kern w:val="0"/>
          <w:szCs w:val="24"/>
        </w:rPr>
        <w:t>N</w:t>
      </w:r>
      <w:r>
        <w:rPr>
          <w:color w:val="000000"/>
          <w:kern w:val="0"/>
          <w:szCs w:val="24"/>
          <w:vertAlign w:val="subscript"/>
        </w:rPr>
        <w:t>2</w:t>
      </w:r>
      <w:r>
        <w:rPr>
          <w:color w:val="000000"/>
          <w:kern w:val="0"/>
          <w:szCs w:val="24"/>
        </w:rPr>
        <w:t>O</w:t>
      </w:r>
      <w:r>
        <w:rPr>
          <w:color w:val="000000"/>
          <w:kern w:val="0"/>
          <w:szCs w:val="24"/>
          <w:vertAlign w:val="subscript"/>
        </w:rPr>
        <w:t>6</w:t>
      </w:r>
      <w:r>
        <w:rPr>
          <w:szCs w:val="24"/>
        </w:rPr>
        <w:t>）应为0.05mg~0.35</w:t>
      </w:r>
      <w:r>
        <w:rPr>
          <w:bCs/>
          <w:szCs w:val="21"/>
        </w:rPr>
        <w:t>mg</w:t>
      </w:r>
      <w:r>
        <w:rPr>
          <w:rFonts w:hint="eastAsia"/>
          <w:bCs/>
          <w:szCs w:val="21"/>
        </w:rPr>
        <w:t>。</w:t>
      </w:r>
      <w:bookmarkStart w:id="5" w:name="_Toc358885420"/>
      <w:bookmarkStart w:id="6" w:name="_Toc370995095"/>
      <w:r>
        <w:rPr>
          <w:bCs/>
          <w:szCs w:val="21"/>
        </w:rPr>
        <w:tab/>
      </w:r>
    </w:p>
    <w:bookmarkEnd w:id="5"/>
    <w:bookmarkEnd w:id="6"/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ind w:firstLine="420"/>
        <w:jc w:val="left"/>
        <w:textAlignment w:val="auto"/>
        <w:rPr>
          <w:bCs/>
          <w:szCs w:val="21"/>
        </w:rPr>
      </w:pPr>
      <w:r>
        <w:rPr>
          <w:rFonts w:eastAsia="黑体"/>
          <w:bCs/>
          <w:szCs w:val="21"/>
        </w:rPr>
        <w:t>【规格】</w:t>
      </w:r>
      <w:r>
        <w:rPr>
          <w:rFonts w:hint="eastAsia" w:eastAsia="黑体"/>
          <w:bCs/>
          <w:szCs w:val="21"/>
        </w:rPr>
        <w:t xml:space="preserve">  </w:t>
      </w:r>
      <w:r>
        <w:rPr>
          <w:rFonts w:hint="eastAsia"/>
          <w:bCs/>
          <w:szCs w:val="21"/>
        </w:rPr>
        <w:t>每</w:t>
      </w:r>
      <w:r>
        <w:rPr>
          <w:bCs/>
          <w:szCs w:val="21"/>
        </w:rPr>
        <w:t>1g</w:t>
      </w:r>
      <w:r>
        <w:rPr>
          <w:rFonts w:hint="eastAsia"/>
          <w:bCs/>
          <w:szCs w:val="21"/>
        </w:rPr>
        <w:t>配方颗粒相当于饮片2.2</w:t>
      </w:r>
      <w:r>
        <w:rPr>
          <w:bCs/>
          <w:szCs w:val="21"/>
        </w:rPr>
        <w:t>g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ind w:firstLine="420"/>
        <w:textAlignment w:val="auto"/>
        <w:rPr>
          <w:bCs/>
          <w:szCs w:val="21"/>
        </w:rPr>
      </w:pPr>
      <w:r>
        <w:rPr>
          <w:rFonts w:eastAsia="黑体"/>
          <w:bCs/>
          <w:szCs w:val="21"/>
        </w:rPr>
        <w:t>【贮藏】</w:t>
      </w:r>
      <w:r>
        <w:rPr>
          <w:rFonts w:hint="eastAsia" w:eastAsia="黑体"/>
          <w:bCs/>
          <w:szCs w:val="21"/>
        </w:rPr>
        <w:t xml:space="preserve">  </w:t>
      </w:r>
      <w:r>
        <w:rPr>
          <w:rFonts w:hint="eastAsia"/>
          <w:bCs/>
          <w:szCs w:val="21"/>
        </w:rPr>
        <w:t>密封。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ind w:firstLine="420"/>
        <w:textAlignment w:val="auto"/>
        <w:rPr>
          <w:bCs/>
          <w:szCs w:val="21"/>
        </w:rPr>
      </w:pPr>
      <w:r>
        <w:rPr>
          <w:rFonts w:eastAsia="黑体"/>
          <w:bCs/>
          <w:szCs w:val="21"/>
        </w:rPr>
        <w:t>【</w:t>
      </w:r>
      <w:r>
        <w:rPr>
          <w:rFonts w:hint="eastAsia" w:eastAsia="黑体"/>
          <w:bCs/>
          <w:szCs w:val="21"/>
        </w:rPr>
        <w:t>注意</w:t>
      </w:r>
      <w:r>
        <w:rPr>
          <w:rFonts w:eastAsia="黑体"/>
          <w:bCs/>
          <w:szCs w:val="21"/>
        </w:rPr>
        <w:t>】</w:t>
      </w:r>
      <w:r>
        <w:rPr>
          <w:rFonts w:hint="eastAsia" w:eastAsia="黑体"/>
          <w:bCs/>
          <w:szCs w:val="21"/>
        </w:rPr>
        <w:t xml:space="preserve">  孕妇慎用</w:t>
      </w:r>
      <w:r>
        <w:rPr>
          <w:rFonts w:hint="eastAsia"/>
          <w:bCs/>
          <w:szCs w:val="21"/>
        </w:rPr>
        <w:t>。</w:t>
      </w:r>
    </w:p>
    <w:p>
      <w:pPr>
        <w:snapToGrid w:val="0"/>
        <w:ind w:firstLine="480"/>
        <w:rPr>
          <w:bCs/>
          <w:sz w:val="24"/>
          <w:szCs w:val="24"/>
        </w:rPr>
      </w:pP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20"/>
      </w:pPr>
      <w:r>
        <w:separator/>
      </w:r>
    </w:p>
  </w:endnote>
  <w:endnote w:type="continuationSeparator" w:id="1">
    <w:p>
      <w:pPr>
        <w:spacing w:line="240" w:lineRule="auto"/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方正小标宋简体">
    <w:altName w:val="黑体"/>
    <w:panose1 w:val="00000000000000000000"/>
    <w:charset w:val="86"/>
    <w:family w:val="script"/>
    <w:pitch w:val="default"/>
    <w:sig w:usb0="00000000" w:usb1="00000000" w:usb2="00000012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  <w:ind w:firstLine="420"/>
      </w:pPr>
      <w:r>
        <w:separator/>
      </w:r>
    </w:p>
  </w:footnote>
  <w:footnote w:type="continuationSeparator" w:id="1">
    <w:p>
      <w:pPr>
        <w:spacing w:line="360" w:lineRule="auto"/>
        <w:ind w:firstLine="4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spacing w:line="240" w:lineRule="auto"/>
      <w:ind w:firstLine="0" w:firstLineChars="0"/>
      <w:rPr>
        <w:rFonts w:ascii="黑体" w:hAnsi="黑体" w:eastAsia="黑体" w:cs="方正小标宋简体"/>
        <w:sz w:val="28"/>
        <w:szCs w:val="28"/>
      </w:rPr>
    </w:pPr>
    <w:r>
      <w:rPr>
        <w:sz w:val="28"/>
      </w:rPr>
      <w:pict>
        <v:shape id="PowerPlusWaterMarkObject202350" o:spid="_x0000_s2049" o:spt="136" type="#_x0000_t136" style="position:absolute;left:0pt;height:40.25pt;width:565.75pt;mso-position-horizontal:center;mso-position-horizontal-relative:margin;mso-position-vertical:center;mso-position-vertical-relative:margin;rotation:-2949120f;z-index:-251657216;mso-width-relative:page;mso-height-relative:page;" fillcolor="#404040" filled="t" stroked="f" coordsize="21600,21600">
          <v:path/>
          <v:fill on="t" opacity="32768f" focussize="0,0"/>
          <v:stroke on="f"/>
          <v:imagedata o:title=""/>
          <o:lock v:ext="edit" aspectratio="t"/>
          <v:textpath on="t" fitpath="t" trim="t" xscale="f" string="广东省中药配方颗粒质量标准公示稿" style="font-family:宋体;font-size:40pt;v-text-align:center;"/>
        </v:shape>
      </w:pict>
    </w:r>
    <w:r>
      <w:rPr>
        <w:rFonts w:hint="eastAsia" w:ascii="黑体" w:hAnsi="黑体" w:eastAsia="黑体" w:cs="方正小标宋简体"/>
        <w:sz w:val="28"/>
        <w:szCs w:val="28"/>
      </w:rPr>
      <w:t>广东省中药配方颗粒质量标准公示稿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ThiNjZlYjk3ZmQ4YjkxMjIwM2U2ZjI0NTBmNTYxYmYifQ=="/>
  </w:docVars>
  <w:rsids>
    <w:rsidRoot w:val="00F80AB1"/>
    <w:rsid w:val="000064E5"/>
    <w:rsid w:val="000344A8"/>
    <w:rsid w:val="00061D8D"/>
    <w:rsid w:val="00092FFB"/>
    <w:rsid w:val="00094AB5"/>
    <w:rsid w:val="000F741B"/>
    <w:rsid w:val="00127FC0"/>
    <w:rsid w:val="001D0C27"/>
    <w:rsid w:val="002505A6"/>
    <w:rsid w:val="00266B26"/>
    <w:rsid w:val="00266C1C"/>
    <w:rsid w:val="00275311"/>
    <w:rsid w:val="002A389B"/>
    <w:rsid w:val="002B5329"/>
    <w:rsid w:val="002C16EC"/>
    <w:rsid w:val="00326A87"/>
    <w:rsid w:val="00354772"/>
    <w:rsid w:val="00373DE4"/>
    <w:rsid w:val="00376A4A"/>
    <w:rsid w:val="0038037D"/>
    <w:rsid w:val="003C7E9F"/>
    <w:rsid w:val="003F1417"/>
    <w:rsid w:val="004C2C0D"/>
    <w:rsid w:val="004C7631"/>
    <w:rsid w:val="0050747B"/>
    <w:rsid w:val="005749A5"/>
    <w:rsid w:val="00581696"/>
    <w:rsid w:val="00590ABF"/>
    <w:rsid w:val="005968CD"/>
    <w:rsid w:val="00614185"/>
    <w:rsid w:val="00642066"/>
    <w:rsid w:val="00682A1F"/>
    <w:rsid w:val="006F334B"/>
    <w:rsid w:val="00703200"/>
    <w:rsid w:val="007360FE"/>
    <w:rsid w:val="007845C8"/>
    <w:rsid w:val="00794EDB"/>
    <w:rsid w:val="007C0597"/>
    <w:rsid w:val="00815E83"/>
    <w:rsid w:val="00855A8F"/>
    <w:rsid w:val="00871204"/>
    <w:rsid w:val="008813CC"/>
    <w:rsid w:val="008A4E09"/>
    <w:rsid w:val="008E7252"/>
    <w:rsid w:val="0097142A"/>
    <w:rsid w:val="009A4C9E"/>
    <w:rsid w:val="009C6132"/>
    <w:rsid w:val="00A2323D"/>
    <w:rsid w:val="00A3584B"/>
    <w:rsid w:val="00A420F8"/>
    <w:rsid w:val="00A50377"/>
    <w:rsid w:val="00A556FB"/>
    <w:rsid w:val="00A855EA"/>
    <w:rsid w:val="00AB7BF1"/>
    <w:rsid w:val="00AD3A4B"/>
    <w:rsid w:val="00BF2020"/>
    <w:rsid w:val="00C1558A"/>
    <w:rsid w:val="00C21090"/>
    <w:rsid w:val="00C2280B"/>
    <w:rsid w:val="00C27BF8"/>
    <w:rsid w:val="00C43EDB"/>
    <w:rsid w:val="00CA4D0D"/>
    <w:rsid w:val="00CD4BC6"/>
    <w:rsid w:val="00CE26D8"/>
    <w:rsid w:val="00CE2A86"/>
    <w:rsid w:val="00CF7BA2"/>
    <w:rsid w:val="00D030DE"/>
    <w:rsid w:val="00D17C14"/>
    <w:rsid w:val="00D420AA"/>
    <w:rsid w:val="00D916C5"/>
    <w:rsid w:val="00DA580D"/>
    <w:rsid w:val="00DD1B4B"/>
    <w:rsid w:val="00DD52DA"/>
    <w:rsid w:val="00E24F91"/>
    <w:rsid w:val="00E33FCF"/>
    <w:rsid w:val="00EA08A7"/>
    <w:rsid w:val="00EC19D0"/>
    <w:rsid w:val="00ED0FFB"/>
    <w:rsid w:val="00ED1EBE"/>
    <w:rsid w:val="00F40750"/>
    <w:rsid w:val="00F62B8D"/>
    <w:rsid w:val="00F80AB1"/>
    <w:rsid w:val="00FA50A1"/>
    <w:rsid w:val="00FD4F67"/>
    <w:rsid w:val="00FF3059"/>
    <w:rsid w:val="0480493A"/>
    <w:rsid w:val="08852803"/>
    <w:rsid w:val="09920E12"/>
    <w:rsid w:val="0B4300B4"/>
    <w:rsid w:val="0B971176"/>
    <w:rsid w:val="11E91F4C"/>
    <w:rsid w:val="182E37C9"/>
    <w:rsid w:val="187E313D"/>
    <w:rsid w:val="1ADE43B4"/>
    <w:rsid w:val="1B1D4C62"/>
    <w:rsid w:val="20476A09"/>
    <w:rsid w:val="206D43FD"/>
    <w:rsid w:val="254259F1"/>
    <w:rsid w:val="2697330D"/>
    <w:rsid w:val="270F06D4"/>
    <w:rsid w:val="27FE0ABE"/>
    <w:rsid w:val="28A158C0"/>
    <w:rsid w:val="2B604E23"/>
    <w:rsid w:val="332A0602"/>
    <w:rsid w:val="380906E8"/>
    <w:rsid w:val="42141068"/>
    <w:rsid w:val="46DA3884"/>
    <w:rsid w:val="49C83548"/>
    <w:rsid w:val="4B4F2670"/>
    <w:rsid w:val="4CB25DC3"/>
    <w:rsid w:val="4CC21042"/>
    <w:rsid w:val="4E884ABA"/>
    <w:rsid w:val="557A090C"/>
    <w:rsid w:val="559023A9"/>
    <w:rsid w:val="55C116C4"/>
    <w:rsid w:val="59377486"/>
    <w:rsid w:val="5C433822"/>
    <w:rsid w:val="603A15C2"/>
    <w:rsid w:val="61C5266B"/>
    <w:rsid w:val="64F81658"/>
    <w:rsid w:val="759B22D9"/>
    <w:rsid w:val="76645965"/>
    <w:rsid w:val="798A1713"/>
    <w:rsid w:val="7A2860D9"/>
    <w:rsid w:val="7A734DC5"/>
    <w:rsid w:val="7B9F2387"/>
    <w:rsid w:val="7EC04E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等线" w:hAnsi="等线" w:eastAsia="等线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nhideWhenUsed="0" w:uiPriority="0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99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ind w:firstLine="200" w:firstLineChars="20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semiHidden/>
    <w:unhideWhenUsed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caption"/>
    <w:basedOn w:val="1"/>
    <w:next w:val="1"/>
    <w:qFormat/>
    <w:uiPriority w:val="0"/>
    <w:pPr>
      <w:jc w:val="center"/>
    </w:pPr>
    <w:rPr>
      <w:rFonts w:eastAsia="等线"/>
      <w:bCs/>
      <w:szCs w:val="18"/>
    </w:rPr>
  </w:style>
  <w:style w:type="paragraph" w:styleId="3">
    <w:name w:val="annotation text"/>
    <w:basedOn w:val="1"/>
    <w:link w:val="11"/>
    <w:unhideWhenUsed/>
    <w:qFormat/>
    <w:uiPriority w:val="99"/>
    <w:pPr>
      <w:jc w:val="left"/>
    </w:pPr>
  </w:style>
  <w:style w:type="paragraph" w:styleId="4">
    <w:name w:val="Body Text"/>
    <w:basedOn w:val="1"/>
    <w:link w:val="12"/>
    <w:qFormat/>
    <w:uiPriority w:val="99"/>
    <w:rPr>
      <w:sz w:val="24"/>
      <w:szCs w:val="20"/>
    </w:rPr>
  </w:style>
  <w:style w:type="paragraph" w:styleId="5">
    <w:name w:val="Balloon Text"/>
    <w:basedOn w:val="1"/>
    <w:link w:val="13"/>
    <w:unhideWhenUsed/>
    <w:qFormat/>
    <w:uiPriority w:val="99"/>
    <w:rPr>
      <w:sz w:val="18"/>
      <w:szCs w:val="18"/>
    </w:rPr>
  </w:style>
  <w:style w:type="paragraph" w:styleId="6">
    <w:name w:val="footer"/>
    <w:basedOn w:val="1"/>
    <w:link w:val="1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5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10">
    <w:name w:val="annotation reference"/>
    <w:unhideWhenUsed/>
    <w:qFormat/>
    <w:uiPriority w:val="99"/>
    <w:rPr>
      <w:sz w:val="21"/>
      <w:szCs w:val="21"/>
    </w:rPr>
  </w:style>
  <w:style w:type="character" w:customStyle="1" w:styleId="11">
    <w:name w:val="批注文字 Char"/>
    <w:link w:val="3"/>
    <w:semiHidden/>
    <w:qFormat/>
    <w:uiPriority w:val="99"/>
  </w:style>
  <w:style w:type="character" w:customStyle="1" w:styleId="12">
    <w:name w:val="正文文本 Char"/>
    <w:link w:val="4"/>
    <w:qFormat/>
    <w:uiPriority w:val="99"/>
    <w:rPr>
      <w:rFonts w:ascii="Times New Roman" w:hAnsi="Times New Roman" w:eastAsia="宋体" w:cs="Times New Roman"/>
      <w:sz w:val="24"/>
      <w:szCs w:val="20"/>
    </w:rPr>
  </w:style>
  <w:style w:type="character" w:customStyle="1" w:styleId="13">
    <w:name w:val="批注框文本 Char"/>
    <w:link w:val="5"/>
    <w:semiHidden/>
    <w:qFormat/>
    <w:uiPriority w:val="99"/>
    <w:rPr>
      <w:sz w:val="18"/>
      <w:szCs w:val="18"/>
    </w:rPr>
  </w:style>
  <w:style w:type="character" w:customStyle="1" w:styleId="14">
    <w:name w:val="页脚 Char"/>
    <w:link w:val="6"/>
    <w:qFormat/>
    <w:uiPriority w:val="99"/>
    <w:rPr>
      <w:sz w:val="18"/>
      <w:szCs w:val="18"/>
    </w:rPr>
  </w:style>
  <w:style w:type="character" w:customStyle="1" w:styleId="15">
    <w:name w:val="页眉 Char"/>
    <w:link w:val="7"/>
    <w:qFormat/>
    <w:uiPriority w:val="99"/>
    <w:rPr>
      <w:sz w:val="18"/>
      <w:szCs w:val="18"/>
    </w:rPr>
  </w:style>
  <w:style w:type="table" w:customStyle="1" w:styleId="16">
    <w:name w:val="三线表"/>
    <w:basedOn w:val="8"/>
    <w:qFormat/>
    <w:uiPriority w:val="99"/>
    <w:rPr>
      <w:rFonts w:ascii="Calibri" w:hAnsi="Calibri"/>
    </w:rPr>
    <w:tblPr>
      <w:jc w:val="center"/>
      <w:tblBorders>
        <w:top w:val="single" w:color="auto" w:sz="12" w:space="0"/>
        <w:bottom w:val="single" w:color="auto" w:sz="12" w:space="0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vAlign w:val="center"/>
    </w:tcPr>
    <w:tblStylePr w:type="firstRow">
      <w:tcPr>
        <w:tcBorders>
          <w:top w:val="single" w:color="auto" w:sz="12" w:space="0"/>
          <w:left w:val="nil"/>
          <w:bottom w:val="single" w:color="auto" w:sz="8" w:space="0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17">
    <w:name w:val="三线表1"/>
    <w:basedOn w:val="8"/>
    <w:qFormat/>
    <w:uiPriority w:val="99"/>
    <w:rPr>
      <w:rFonts w:ascii="Calibri" w:hAnsi="Calibri" w:eastAsia="宋体"/>
    </w:rPr>
    <w:tblPr>
      <w:jc w:val="center"/>
      <w:tblBorders>
        <w:top w:val="single" w:color="auto" w:sz="12" w:space="0"/>
        <w:bottom w:val="single" w:color="auto" w:sz="12" w:space="0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vAlign w:val="center"/>
    </w:tcPr>
    <w:tblStylePr w:type="firstRow">
      <w:tcPr>
        <w:tcBorders>
          <w:top w:val="single" w:color="auto" w:sz="12" w:space="0"/>
          <w:left w:val="nil"/>
          <w:bottom w:val="single" w:color="auto" w:sz="8" w:space="0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18">
    <w:name w:val="梯度表"/>
    <w:basedOn w:val="1"/>
    <w:link w:val="19"/>
    <w:qFormat/>
    <w:uiPriority w:val="0"/>
    <w:pPr>
      <w:spacing w:line="240" w:lineRule="auto"/>
      <w:ind w:firstLine="0" w:firstLineChars="0"/>
      <w:jc w:val="center"/>
    </w:pPr>
    <w:rPr>
      <w:sz w:val="18"/>
      <w:szCs w:val="18"/>
    </w:rPr>
  </w:style>
  <w:style w:type="character" w:customStyle="1" w:styleId="19">
    <w:name w:val="梯度表 字符"/>
    <w:link w:val="18"/>
    <w:qFormat/>
    <w:uiPriority w:val="0"/>
    <w:rPr>
      <w:rFonts w:ascii="Times New Roman" w:hAnsi="Times New Roman" w:eastAsia="宋体" w:cs="Times New Roman"/>
      <w:sz w:val="18"/>
      <w:szCs w:val="18"/>
    </w:rPr>
  </w:style>
  <w:style w:type="paragraph" w:customStyle="1" w:styleId="20">
    <w:name w:val="表格"/>
    <w:basedOn w:val="1"/>
    <w:qFormat/>
    <w:uiPriority w:val="0"/>
    <w:pPr>
      <w:spacing w:after="200"/>
      <w:jc w:val="center"/>
    </w:pPr>
    <w:rPr>
      <w:sz w:val="18"/>
    </w:rPr>
  </w:style>
  <w:style w:type="paragraph" w:customStyle="1" w:styleId="21">
    <w:name w:val="表格文本"/>
    <w:basedOn w:val="1"/>
    <w:next w:val="1"/>
    <w:qFormat/>
    <w:uiPriority w:val="0"/>
    <w:pPr>
      <w:jc w:val="center"/>
    </w:pPr>
    <w:rPr>
      <w:szCs w:val="24"/>
    </w:rPr>
  </w:style>
  <w:style w:type="paragraph" w:styleId="22">
    <w:name w:val="List Paragraph"/>
    <w:basedOn w:val="1"/>
    <w:qFormat/>
    <w:uiPriority w:val="34"/>
    <w:pPr>
      <w:ind w:firstLine="420"/>
    </w:pPr>
  </w:style>
  <w:style w:type="paragraph" w:customStyle="1" w:styleId="23">
    <w:name w:val="修订1"/>
    <w:semiHidden/>
    <w:qFormat/>
    <w:uiPriority w:val="99"/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1.xml"/><Relationship Id="rId12" Type="http://schemas.openxmlformats.org/officeDocument/2006/relationships/image" Target="media/image1.png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Micorosoft</Company>
  <Pages>3</Pages>
  <Words>350</Words>
  <Characters>1999</Characters>
  <Lines>16</Lines>
  <Paragraphs>4</Paragraphs>
  <TotalTime>0</TotalTime>
  <ScaleCrop>false</ScaleCrop>
  <LinksUpToDate>false</LinksUpToDate>
  <CharactersWithSpaces>2345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2023-01-19T04:04:00Z</dcterms:created>
  <dc:creator>huang guokai</dc:creator>
  <cp:lastModifiedBy>admin</cp:lastModifiedBy>
  <cp:lastPrinted>2021-10-28T05:00:00Z</cp:lastPrinted>
  <dcterms:modified xsi:type="dcterms:W3CDTF">2023-01-19T04:48:53Z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D506938093664A86AD726CD363E019B5</vt:lpwstr>
  </property>
</Properties>
</file>