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建曲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Jianqu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本品为面粉、麦麸和多种药物混和后，经发酵而成。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【制法】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取</w:t>
      </w:r>
      <w:r>
        <w:rPr>
          <w:rFonts w:ascii="Times New Roman" w:hAnsi="Times New Roman" w:eastAsia="宋体" w:cs="Times New Roman"/>
          <w:kern w:val="0"/>
          <w:szCs w:val="21"/>
        </w:rPr>
        <w:t>辣蓼6.6g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苍耳草6.6g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青蒿6.6g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苦杏仁4g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赤小豆4g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麦芽9g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山楂（炒）9g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陈皮6g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广藿香6g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苍术6g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厚朴3g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川木香3g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</w:rPr>
        <w:t>白芷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3g</w:t>
      </w:r>
      <w:r>
        <w:rPr>
          <w:rFonts w:hint="eastAsia" w:ascii="Times New Roman" w:hAnsi="Times New Roman" w:eastAsia="宋体" w:cs="Times New Roman"/>
          <w:kern w:val="0"/>
          <w:szCs w:val="21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槟榔3g</w:t>
      </w:r>
      <w:r>
        <w:rPr>
          <w:rFonts w:hint="eastAsia" w:ascii="Times New Roman" w:hAnsi="Times New Roman" w:eastAsia="宋体" w:cs="Times New Roman"/>
          <w:kern w:val="0"/>
          <w:szCs w:val="21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枳壳（麸炒）3g</w:t>
      </w:r>
      <w:r>
        <w:rPr>
          <w:rFonts w:hint="eastAsia" w:ascii="Times New Roman" w:hAnsi="Times New Roman" w:eastAsia="宋体" w:cs="Times New Roman"/>
          <w:kern w:val="0"/>
          <w:szCs w:val="21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紫苏6g</w:t>
      </w:r>
      <w:r>
        <w:rPr>
          <w:rFonts w:hint="eastAsia" w:ascii="Times New Roman" w:hAnsi="Times New Roman" w:eastAsia="宋体" w:cs="Times New Roman"/>
          <w:kern w:val="0"/>
          <w:szCs w:val="21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薄荷3g</w:t>
      </w:r>
      <w:r>
        <w:rPr>
          <w:rFonts w:hint="eastAsia" w:ascii="Times New Roman" w:hAnsi="Times New Roman" w:eastAsia="宋体" w:cs="Times New Roman"/>
          <w:kern w:val="0"/>
          <w:szCs w:val="21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谷芽9g</w:t>
      </w:r>
      <w:r>
        <w:rPr>
          <w:rFonts w:hint="eastAsia" w:ascii="Times New Roman" w:hAnsi="Times New Roman" w:eastAsia="宋体" w:cs="Times New Roman"/>
          <w:kern w:val="0"/>
          <w:szCs w:val="21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官桂1.5g</w:t>
      </w:r>
      <w:r>
        <w:rPr>
          <w:rFonts w:hint="eastAsia" w:ascii="Times New Roman" w:hAnsi="Times New Roman" w:eastAsia="宋体" w:cs="Times New Roman"/>
          <w:kern w:val="0"/>
          <w:szCs w:val="21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香附6g</w:t>
      </w:r>
      <w:r>
        <w:rPr>
          <w:rFonts w:hint="eastAsia" w:ascii="Times New Roman" w:hAnsi="Times New Roman" w:eastAsia="宋体" w:cs="Times New Roman"/>
          <w:kern w:val="0"/>
          <w:szCs w:val="21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甘草1.5g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highlight w:val="none"/>
          <w:lang w:val="en-US" w:eastAsia="zh-CN"/>
        </w:rPr>
        <w:t>，</w:t>
      </w:r>
      <w:r>
        <w:rPr>
          <w:rFonts w:ascii="Times New Roman" w:hAnsi="Times New Roman" w:eastAsia="宋体" w:cs="Times New Roman"/>
          <w:kern w:val="0"/>
          <w:szCs w:val="21"/>
        </w:rPr>
        <w:t>粉碎成细粉，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与</w:t>
      </w:r>
      <w:r>
        <w:rPr>
          <w:rFonts w:ascii="Times New Roman" w:hAnsi="Times New Roman" w:eastAsia="宋体" w:cs="Times New Roman"/>
          <w:kern w:val="0"/>
          <w:szCs w:val="21"/>
          <w:highlight w:val="none"/>
        </w:rPr>
        <w:t>麦麸21.2g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混匀，</w:t>
      </w:r>
      <w:r>
        <w:rPr>
          <w:rFonts w:ascii="Times New Roman" w:hAnsi="Times New Roman" w:eastAsia="宋体" w:cs="Times New Roman"/>
          <w:kern w:val="0"/>
          <w:szCs w:val="21"/>
        </w:rPr>
        <w:t>过筛，再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取</w:t>
      </w:r>
      <w:r>
        <w:rPr>
          <w:rFonts w:ascii="Times New Roman" w:hAnsi="Times New Roman" w:eastAsia="宋体" w:cs="Times New Roman"/>
          <w:kern w:val="0"/>
          <w:szCs w:val="21"/>
        </w:rPr>
        <w:t>面粉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10.6g</w:t>
      </w:r>
      <w:r>
        <w:rPr>
          <w:rFonts w:ascii="Times New Roman" w:hAnsi="Times New Roman" w:eastAsia="宋体" w:cs="Times New Roman"/>
          <w:kern w:val="0"/>
          <w:szCs w:val="21"/>
        </w:rPr>
        <w:t>制成适量稀糊，趁热与上述药粉揉合均匀，以手捏成团，掷之即散为宜，制成方块，置发酵箱内，块间留有空隙，上盖麻袋或稻草，置密闭室内发酵至药块遍起白霉，有酒香气时取出，</w:t>
      </w:r>
      <w:r>
        <w:rPr>
          <w:rFonts w:hint="eastAsia" w:ascii="Times New Roman" w:hAnsi="Times New Roman" w:eastAsia="宋体" w:cs="Times New Roman"/>
          <w:kern w:val="0"/>
          <w:szCs w:val="21"/>
        </w:rPr>
        <w:t>干燥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【性状】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>本品</w:t>
      </w:r>
      <w:r>
        <w:rPr>
          <w:rFonts w:hint="eastAsia" w:ascii="Times New Roman" w:hAnsi="Times New Roman" w:eastAsia="宋体" w:cs="Times New Roman"/>
          <w:kern w:val="0"/>
          <w:szCs w:val="21"/>
        </w:rPr>
        <w:t>呈</w:t>
      </w:r>
      <w:r>
        <w:rPr>
          <w:rFonts w:ascii="Times New Roman" w:hAnsi="Times New Roman" w:eastAsia="宋体" w:cs="Times New Roman"/>
          <w:kern w:val="0"/>
          <w:szCs w:val="21"/>
        </w:rPr>
        <w:t>长方形</w:t>
      </w:r>
      <w:r>
        <w:rPr>
          <w:rFonts w:hint="eastAsia" w:ascii="Times New Roman" w:hAnsi="Times New Roman" w:eastAsia="宋体" w:cs="Times New Roman"/>
          <w:kern w:val="0"/>
          <w:szCs w:val="21"/>
        </w:rPr>
        <w:t>或不规则碎块</w:t>
      </w:r>
      <w:r>
        <w:rPr>
          <w:rFonts w:ascii="Times New Roman" w:hAnsi="Times New Roman" w:eastAsia="宋体" w:cs="Times New Roman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kern w:val="0"/>
          <w:szCs w:val="21"/>
        </w:rPr>
        <w:t>大小不一。</w:t>
      </w:r>
      <w:r>
        <w:rPr>
          <w:rFonts w:ascii="Times New Roman" w:hAnsi="Times New Roman" w:eastAsia="宋体" w:cs="Times New Roman"/>
          <w:kern w:val="0"/>
          <w:szCs w:val="21"/>
        </w:rPr>
        <w:t>外表面粗糙，黄褐色，有白霉，断面疏松，黄褐色；气清香，味微苦。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【鉴别】</w:t>
      </w:r>
      <w:r>
        <w:rPr>
          <w:rFonts w:hint="eastAsia" w:ascii="Times New Roman" w:hAnsi="Times New Roman" w:eastAsia="宋体" w:cs="Times New Roman"/>
          <w:bCs/>
          <w:kern w:val="0"/>
          <w:szCs w:val="21"/>
        </w:rPr>
        <w:t>（1）</w:t>
      </w:r>
      <w:r>
        <w:rPr>
          <w:rFonts w:hint="eastAsia" w:ascii="Times New Roman" w:hAnsi="Times New Roman" w:eastAsia="宋体" w:cs="Times New Roman"/>
          <w:kern w:val="0"/>
          <w:szCs w:val="21"/>
        </w:rPr>
        <w:t>本品粉末黄褐色。稃片外表皮表面观长细胞与2个短细胞（栓化细胞、硅质细胞）交互排列，长细胞壁厚，紧密深波状弯曲，短细胞类圆形，有稀疏壁孔（麦芽）。石细胞有两种，一种单个散在或成群，无色或淡黄色，类多角形、长圆形或不规则形，孔沟及层纹明显，有的胞腔内含深棕色物，直径19~125</w:t>
      </w:r>
      <w:r>
        <w:rPr>
          <w:rFonts w:hint="eastAsia" w:ascii="Times New Roman" w:hAnsi="Times New Roman" w:eastAsia="宋体" w:cs="Times New Roman"/>
          <w:bCs/>
          <w:szCs w:val="21"/>
        </w:rPr>
        <w:t>µ</w:t>
      </w:r>
      <w:r>
        <w:rPr>
          <w:rFonts w:hint="eastAsia" w:ascii="Times New Roman" w:hAnsi="Times New Roman" w:eastAsia="宋体" w:cs="Times New Roman"/>
          <w:kern w:val="0"/>
          <w:szCs w:val="21"/>
        </w:rPr>
        <w:t>m（山楂）；另一种石细胞不规则分枝状，直径11~65</w:t>
      </w:r>
      <w:r>
        <w:rPr>
          <w:rFonts w:hint="eastAsia" w:ascii="Times New Roman" w:hAnsi="Times New Roman" w:eastAsia="宋体" w:cs="Times New Roman"/>
          <w:bCs/>
          <w:szCs w:val="21"/>
        </w:rPr>
        <w:t>µ</w:t>
      </w:r>
      <w:r>
        <w:rPr>
          <w:rFonts w:hint="eastAsia" w:ascii="Times New Roman" w:hAnsi="Times New Roman" w:eastAsia="宋体" w:cs="Times New Roman"/>
          <w:kern w:val="0"/>
          <w:szCs w:val="21"/>
        </w:rPr>
        <w:t>m，有时可见层纹（厚朴）。种皮表皮细胞为栅状，底面观细胞呈多角形，壁稍厚，胞腔大，内含红棕色至红色物质（赤小豆）。内胚乳细胞多破碎，无色，纹孔较多，甚大，类圆形或矩圆形（槟榔）。分泌细胞类圆形，含淡黄棕色至红棕色分泌物（香附）。草酸钙方晶成片存在于果皮中，呈多面体形、斜方形、菱形或双锥形（陈皮、枳壳）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  <w:r>
        <w:rPr>
          <w:rFonts w:hint="eastAsia" w:ascii="Times New Roman" w:hAnsi="Times New Roman" w:eastAsia="宋体" w:cs="Times New Roman"/>
          <w:kern w:val="0"/>
          <w:szCs w:val="21"/>
        </w:rPr>
        <w:t>纤维束周围薄壁细胞含草酸钙方晶，形成晶纤维（甘草）。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（2）</w:t>
      </w:r>
      <w:r>
        <w:rPr>
          <w:rFonts w:ascii="Times New Roman" w:hAnsi="Times New Roman" w:eastAsia="宋体" w:cs="Times New Roman"/>
          <w:bCs/>
          <w:szCs w:val="21"/>
        </w:rPr>
        <w:t>取本品粉末10g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加乙醚50m</w:t>
      </w:r>
      <w:r>
        <w:rPr>
          <w:rFonts w:hint="eastAsia" w:ascii="Times New Roman" w:hAnsi="Times New Roman" w:eastAsia="宋体" w:cs="Times New Roman"/>
          <w:bCs/>
          <w:szCs w:val="21"/>
        </w:rPr>
        <w:t>l，</w:t>
      </w:r>
      <w:r>
        <w:rPr>
          <w:rFonts w:ascii="Times New Roman" w:hAnsi="Times New Roman" w:eastAsia="宋体" w:cs="Times New Roman"/>
          <w:bCs/>
          <w:szCs w:val="21"/>
        </w:rPr>
        <w:t>超声处理20</w:t>
      </w:r>
      <w:r>
        <w:rPr>
          <w:rFonts w:hint="eastAsia" w:ascii="Times New Roman" w:hAnsi="Times New Roman" w:eastAsia="宋体" w:cs="Times New Roman"/>
          <w:bCs/>
          <w:szCs w:val="21"/>
        </w:rPr>
        <w:t>分钟，</w:t>
      </w:r>
      <w:r>
        <w:rPr>
          <w:rFonts w:ascii="Times New Roman" w:hAnsi="Times New Roman" w:eastAsia="宋体" w:cs="Times New Roman"/>
          <w:bCs/>
          <w:szCs w:val="21"/>
        </w:rPr>
        <w:t>滤过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滤液挥干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残渣加甲醇1m</w:t>
      </w:r>
      <w:r>
        <w:rPr>
          <w:rFonts w:hint="eastAsia" w:ascii="Times New Roman" w:hAnsi="Times New Roman" w:eastAsia="宋体" w:cs="Times New Roman"/>
          <w:bCs/>
          <w:szCs w:val="21"/>
        </w:rPr>
        <w:t>l</w:t>
      </w:r>
      <w:r>
        <w:rPr>
          <w:rFonts w:ascii="Times New Roman" w:hAnsi="Times New Roman" w:eastAsia="宋体" w:cs="Times New Roman"/>
          <w:bCs/>
          <w:szCs w:val="21"/>
        </w:rPr>
        <w:t>使溶解。作为供试品溶液。另取川木香对照药材0.5g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加乙醚10m</w:t>
      </w:r>
      <w:r>
        <w:rPr>
          <w:rFonts w:hint="eastAsia" w:ascii="Times New Roman" w:hAnsi="Times New Roman" w:eastAsia="宋体" w:cs="Times New Roman"/>
          <w:bCs/>
          <w:szCs w:val="21"/>
        </w:rPr>
        <w:t>l</w:t>
      </w:r>
      <w:r>
        <w:rPr>
          <w:rFonts w:ascii="Times New Roman" w:hAnsi="Times New Roman" w:eastAsia="宋体" w:cs="Times New Roman"/>
          <w:bCs/>
          <w:szCs w:val="21"/>
        </w:rPr>
        <w:t>，同法制成对照药材溶液。照薄层色谱法</w:t>
      </w:r>
      <w:r>
        <w:rPr>
          <w:rFonts w:hint="eastAsia" w:ascii="Times New Roman" w:hAnsi="Times New Roman" w:eastAsia="宋体" w:cs="Times New Roman"/>
          <w:bCs/>
          <w:szCs w:val="21"/>
        </w:rPr>
        <w:t>（《中国药典》2020年版通则0502）</w:t>
      </w:r>
      <w:r>
        <w:rPr>
          <w:rFonts w:ascii="Times New Roman" w:hAnsi="Times New Roman" w:eastAsia="宋体" w:cs="Times New Roman"/>
          <w:bCs/>
          <w:szCs w:val="21"/>
        </w:rPr>
        <w:t>试验，吸取上述供试品溶液</w:t>
      </w:r>
      <w:r>
        <w:rPr>
          <w:rFonts w:hint="eastAsia" w:ascii="Times New Roman" w:hAnsi="Times New Roman" w:eastAsia="宋体" w:cs="Times New Roman"/>
          <w:bCs/>
          <w:szCs w:val="21"/>
        </w:rPr>
        <w:t>10</w:t>
      </w:r>
      <w:r>
        <w:rPr>
          <w:rFonts w:ascii="Times New Roman" w:hAnsi="Times New Roman" w:eastAsia="宋体" w:cs="Times New Roman"/>
          <w:bCs/>
          <w:szCs w:val="21"/>
        </w:rPr>
        <w:t>~1</w:t>
      </w:r>
      <w:r>
        <w:rPr>
          <w:rFonts w:hint="eastAsia" w:ascii="Times New Roman" w:hAnsi="Times New Roman" w:eastAsia="宋体" w:cs="Times New Roman"/>
          <w:bCs/>
          <w:szCs w:val="21"/>
        </w:rPr>
        <w:t>5µl、</w:t>
      </w:r>
      <w:r>
        <w:rPr>
          <w:rFonts w:ascii="Times New Roman" w:hAnsi="Times New Roman" w:eastAsia="宋体" w:cs="Times New Roman"/>
          <w:bCs/>
          <w:szCs w:val="21"/>
        </w:rPr>
        <w:t>对照药材溶液</w:t>
      </w:r>
      <w:r>
        <w:rPr>
          <w:rFonts w:hint="eastAsia" w:ascii="Times New Roman" w:hAnsi="Times New Roman" w:eastAsia="宋体" w:cs="Times New Roman"/>
          <w:bCs/>
          <w:szCs w:val="21"/>
        </w:rPr>
        <w:t>1µl，</w:t>
      </w:r>
      <w:r>
        <w:rPr>
          <w:rFonts w:ascii="Times New Roman" w:hAnsi="Times New Roman" w:eastAsia="宋体" w:cs="Times New Roman"/>
          <w:bCs/>
          <w:szCs w:val="21"/>
        </w:rPr>
        <w:t>分别点</w:t>
      </w:r>
      <w:r>
        <w:rPr>
          <w:rFonts w:hint="eastAsia" w:ascii="Times New Roman" w:hAnsi="Times New Roman" w:eastAsia="宋体" w:cs="Times New Roman"/>
          <w:bCs/>
          <w:szCs w:val="21"/>
        </w:rPr>
        <w:t>于</w:t>
      </w:r>
      <w:r>
        <w:rPr>
          <w:rFonts w:ascii="Times New Roman" w:hAnsi="Times New Roman" w:eastAsia="宋体" w:cs="Times New Roman"/>
          <w:bCs/>
          <w:szCs w:val="21"/>
        </w:rPr>
        <w:t>同一硅胶G薄层板上，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使成条状，</w:t>
      </w:r>
      <w:r>
        <w:rPr>
          <w:rFonts w:ascii="Times New Roman" w:hAnsi="Times New Roman" w:eastAsia="宋体" w:cs="Times New Roman"/>
          <w:bCs/>
          <w:szCs w:val="21"/>
        </w:rPr>
        <w:t>以甲苯</w:t>
      </w:r>
      <w:r>
        <w:rPr>
          <w:rFonts w:hint="eastAsia" w:ascii="Times New Roman" w:hAnsi="Times New Roman" w:eastAsia="宋体" w:cs="Times New Roman"/>
          <w:bCs/>
          <w:szCs w:val="21"/>
        </w:rPr>
        <w:t>-</w:t>
      </w:r>
      <w:r>
        <w:rPr>
          <w:rFonts w:ascii="Times New Roman" w:hAnsi="Times New Roman" w:eastAsia="宋体" w:cs="Times New Roman"/>
          <w:bCs/>
          <w:szCs w:val="21"/>
        </w:rPr>
        <w:t>乙酸乙酯</w:t>
      </w:r>
      <w:r>
        <w:rPr>
          <w:rFonts w:hint="eastAsia" w:ascii="Times New Roman" w:hAnsi="Times New Roman" w:eastAsia="宋体" w:cs="Times New Roman"/>
          <w:bCs/>
          <w:szCs w:val="21"/>
        </w:rPr>
        <w:t>（</w:t>
      </w:r>
      <w:r>
        <w:rPr>
          <w:rFonts w:ascii="Times New Roman" w:hAnsi="Times New Roman" w:eastAsia="宋体" w:cs="Times New Roman"/>
          <w:bCs/>
          <w:szCs w:val="21"/>
        </w:rPr>
        <w:t>19:1</w:t>
      </w:r>
      <w:r>
        <w:rPr>
          <w:rFonts w:hint="eastAsia" w:ascii="Times New Roman" w:hAnsi="Times New Roman" w:eastAsia="宋体" w:cs="Times New Roman"/>
          <w:bCs/>
          <w:szCs w:val="21"/>
        </w:rPr>
        <w:t>）</w:t>
      </w:r>
      <w:r>
        <w:rPr>
          <w:rFonts w:ascii="Times New Roman" w:hAnsi="Times New Roman" w:eastAsia="宋体" w:cs="Times New Roman"/>
          <w:bCs/>
          <w:szCs w:val="21"/>
        </w:rPr>
        <w:t>为展开剂，展开，取出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晾干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喷以5%香草醛硫酸溶液，加热至斑点显色清晰。供试品色谱中，在与对照药材色谱相应的位置上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显相同颜色的斑点。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【检查】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水分</w:t>
      </w:r>
      <w:r>
        <w:rPr>
          <w:rFonts w:ascii="Times New Roman" w:hAnsi="Times New Roman" w:eastAsia="宋体" w:cs="Times New Roman"/>
          <w:szCs w:val="21"/>
        </w:rPr>
        <w:t xml:space="preserve">  不得过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.0</w:t>
      </w:r>
      <w:r>
        <w:rPr>
          <w:rFonts w:ascii="Times New Roman" w:hAnsi="Times New Roman" w:eastAsia="宋体" w:cs="Times New Roman"/>
          <w:szCs w:val="21"/>
        </w:rPr>
        <w:t>%（</w:t>
      </w:r>
      <w:r>
        <w:rPr>
          <w:rFonts w:hint="eastAsia" w:ascii="Times New Roman" w:hAnsi="Times New Roman" w:eastAsia="宋体" w:cs="Times New Roman"/>
          <w:szCs w:val="21"/>
        </w:rPr>
        <w:t>《中国药典》2020年版</w:t>
      </w:r>
      <w:r>
        <w:rPr>
          <w:rFonts w:ascii="Times New Roman" w:hAnsi="Times New Roman" w:eastAsia="宋体" w:cs="Times New Roman"/>
          <w:szCs w:val="21"/>
        </w:rPr>
        <w:t>通则0832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第</w:t>
      </w:r>
      <w:r>
        <w:rPr>
          <w:rFonts w:hint="eastAsia" w:ascii="Times New Roman" w:hAnsi="Times New Roman" w:eastAsia="宋体" w:cs="Times New Roman"/>
          <w:szCs w:val="21"/>
        </w:rPr>
        <w:t>二</w:t>
      </w:r>
      <w:r>
        <w:rPr>
          <w:rFonts w:ascii="Times New Roman" w:hAnsi="Times New Roman" w:eastAsia="宋体" w:cs="Times New Roman"/>
          <w:szCs w:val="21"/>
        </w:rPr>
        <w:t>法）。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总灰分</w:t>
      </w:r>
      <w:r>
        <w:rPr>
          <w:rFonts w:ascii="Times New Roman" w:hAnsi="Times New Roman" w:eastAsia="宋体" w:cs="Times New Roman"/>
          <w:szCs w:val="21"/>
        </w:rPr>
        <w:t xml:space="preserve">  不得过</w:t>
      </w:r>
      <w:r>
        <w:rPr>
          <w:rFonts w:hint="eastAsia" w:ascii="Times New Roman" w:hAnsi="Times New Roman" w:eastAsia="宋体" w:cs="Times New Roman"/>
          <w:szCs w:val="21"/>
        </w:rPr>
        <w:t>7.0</w:t>
      </w:r>
      <w:r>
        <w:rPr>
          <w:rFonts w:ascii="Times New Roman" w:hAnsi="Times New Roman" w:eastAsia="宋体" w:cs="Times New Roman"/>
          <w:szCs w:val="21"/>
        </w:rPr>
        <w:t>%（</w:t>
      </w:r>
      <w:r>
        <w:rPr>
          <w:rFonts w:hint="eastAsia" w:ascii="Times New Roman" w:hAnsi="Times New Roman" w:eastAsia="宋体" w:cs="Times New Roman"/>
          <w:szCs w:val="21"/>
        </w:rPr>
        <w:t>《中国药典》2020年版</w:t>
      </w:r>
      <w:r>
        <w:rPr>
          <w:rFonts w:ascii="Times New Roman" w:hAnsi="Times New Roman" w:eastAsia="宋体" w:cs="Times New Roman"/>
          <w:szCs w:val="21"/>
        </w:rPr>
        <w:t>通则2302）。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酸不溶性灰分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不得过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.0%（</w:t>
      </w:r>
      <w:r>
        <w:rPr>
          <w:rFonts w:hint="eastAsia" w:ascii="Times New Roman" w:hAnsi="Times New Roman" w:eastAsia="宋体" w:cs="Times New Roman"/>
          <w:szCs w:val="21"/>
        </w:rPr>
        <w:t>《中国药典》2020年版</w:t>
      </w:r>
      <w:r>
        <w:rPr>
          <w:rFonts w:ascii="Times New Roman" w:hAnsi="Times New Roman" w:eastAsia="宋体" w:cs="Times New Roman"/>
          <w:szCs w:val="21"/>
        </w:rPr>
        <w:t>通则2302）。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【浸出物】</w:t>
      </w:r>
      <w:r>
        <w:rPr>
          <w:rFonts w:ascii="Times New Roman" w:hAnsi="Times New Roman" w:eastAsia="宋体" w:cs="Times New Roman"/>
          <w:szCs w:val="21"/>
        </w:rPr>
        <w:t xml:space="preserve">  照醇溶性浸出物测定法（</w:t>
      </w:r>
      <w:r>
        <w:rPr>
          <w:rFonts w:hint="eastAsia" w:ascii="Times New Roman" w:hAnsi="Times New Roman" w:eastAsia="宋体" w:cs="Times New Roman"/>
          <w:szCs w:val="21"/>
        </w:rPr>
        <w:t>《中国药典》2020年版</w:t>
      </w:r>
      <w:r>
        <w:rPr>
          <w:rFonts w:ascii="Times New Roman" w:hAnsi="Times New Roman" w:eastAsia="宋体" w:cs="Times New Roman"/>
          <w:szCs w:val="21"/>
        </w:rPr>
        <w:t>通则2201）项下的热浸法测定，用</w:t>
      </w:r>
      <w:r>
        <w:rPr>
          <w:rFonts w:hint="eastAsia" w:ascii="Times New Roman" w:hAnsi="Times New Roman" w:eastAsia="宋体" w:cs="Times New Roman"/>
          <w:szCs w:val="21"/>
        </w:rPr>
        <w:t>稀乙醇</w:t>
      </w:r>
      <w:r>
        <w:rPr>
          <w:rFonts w:ascii="Times New Roman" w:hAnsi="Times New Roman" w:eastAsia="宋体" w:cs="Times New Roman"/>
          <w:szCs w:val="21"/>
        </w:rPr>
        <w:t>作溶剂，不得少于</w:t>
      </w:r>
      <w:r>
        <w:rPr>
          <w:rFonts w:hint="eastAsia" w:ascii="Times New Roman" w:hAnsi="Times New Roman" w:eastAsia="宋体" w:cs="Times New Roman"/>
          <w:szCs w:val="21"/>
        </w:rPr>
        <w:t>16.0</w:t>
      </w:r>
      <w:r>
        <w:rPr>
          <w:rFonts w:ascii="Times New Roman" w:hAnsi="Times New Roman" w:eastAsia="宋体" w:cs="Times New Roman"/>
          <w:szCs w:val="21"/>
        </w:rPr>
        <w:t>%。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饮片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【炮制】 建曲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除去杂质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打成小块或临用掰成小块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【性状】【鉴别】【检查】 【浸出物】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同药材。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炒建曲</w:t>
      </w:r>
      <w:r>
        <w:rPr>
          <w:rFonts w:hint="eastAsia" w:ascii="Times New Roman" w:hAnsi="Times New Roman" w:eastAsia="宋体" w:cs="Times New Roman"/>
          <w:b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取建曲，或将其打成小块，照清炒法（</w:t>
      </w:r>
      <w:r>
        <w:rPr>
          <w:rFonts w:hint="eastAsia" w:ascii="Times New Roman" w:hAnsi="Times New Roman" w:eastAsia="宋体" w:cs="Times New Roman"/>
          <w:szCs w:val="21"/>
        </w:rPr>
        <w:t>《中国药典》2020年版</w:t>
      </w:r>
      <w:r>
        <w:rPr>
          <w:rFonts w:hint="eastAsia" w:ascii="Times New Roman" w:hAnsi="Times New Roman" w:eastAsia="宋体" w:cs="Times New Roman"/>
          <w:kern w:val="0"/>
          <w:szCs w:val="21"/>
        </w:rPr>
        <w:t>通则0213）炒至表面深黄色，有香气。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【性状】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为不规则块状，表面深黄色，粗糙，疏松。有香气。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【鉴别】</w:t>
      </w:r>
      <w:r>
        <w:rPr>
          <w:rFonts w:hint="eastAsia" w:ascii="Times New Roman" w:hAnsi="Times New Roman" w:eastAsia="宋体" w:cs="Times New Roman"/>
          <w:b/>
          <w:bCs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本品粉末深黄色。其余同药材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【检查】 【浸出物】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同药材。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焦建曲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取建曲，或将其打成小块，照清炒法（</w:t>
      </w:r>
      <w:r>
        <w:rPr>
          <w:rFonts w:hint="eastAsia" w:ascii="Times New Roman" w:hAnsi="Times New Roman" w:eastAsia="宋体" w:cs="Times New Roman"/>
          <w:szCs w:val="21"/>
        </w:rPr>
        <w:t>《中国药典》2020年版</w:t>
      </w:r>
      <w:r>
        <w:rPr>
          <w:rFonts w:hint="eastAsia" w:ascii="Times New Roman" w:hAnsi="Times New Roman" w:eastAsia="宋体" w:cs="Times New Roman"/>
          <w:kern w:val="0"/>
          <w:szCs w:val="21"/>
        </w:rPr>
        <w:t>通则0213）炒至表面焦黄色，带焦斑，有焦香气。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【性状】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为不规则块状，表面焦黄色，粗糙，疏松。有焦香气。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 xml:space="preserve">【鉴别】 </w:t>
      </w:r>
      <w:r>
        <w:rPr>
          <w:rFonts w:hint="eastAsia" w:ascii="Times New Roman" w:hAnsi="Times New Roman" w:eastAsia="宋体" w:cs="Times New Roman"/>
          <w:kern w:val="0"/>
          <w:szCs w:val="21"/>
        </w:rPr>
        <w:t>本品粉末焦黄色。其余同药材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 xml:space="preserve">【检查】【浸出物】 </w:t>
      </w:r>
      <w:r>
        <w:rPr>
          <w:rFonts w:hint="eastAsia" w:ascii="Times New Roman" w:hAnsi="Times New Roman" w:eastAsia="宋体" w:cs="Times New Roman"/>
          <w:kern w:val="0"/>
          <w:szCs w:val="21"/>
        </w:rPr>
        <w:t>同药材。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【性味与归经】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辛、微苦，温。归脾、胃经。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【功能与主治】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>解表和中。用于寒热头痛，食滞阻中，呕吐胀满。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炒制</w:t>
      </w:r>
      <w:r>
        <w:rPr>
          <w:rFonts w:hint="eastAsia" w:ascii="Times New Roman" w:hAnsi="Times New Roman" w:eastAsia="宋体" w:cs="Times New Roman"/>
          <w:kern w:val="0"/>
          <w:szCs w:val="21"/>
        </w:rPr>
        <w:t>后增强醒脾和胃作用。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【用法与用量】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>9～15g。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【贮藏】</w:t>
      </w:r>
      <w:r>
        <w:rPr>
          <w:rFonts w:ascii="Times New Roman" w:hAnsi="Times New Roman" w:eastAsia="宋体" w:cs="Times New Roman"/>
          <w:kern w:val="0"/>
          <w:szCs w:val="21"/>
        </w:rPr>
        <w:t xml:space="preserve"> 防潮，防蛀，置干燥处。</w:t>
      </w: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r>
        <w:rPr>
          <w:rFonts w:hint="eastAsia"/>
        </w:rPr>
        <w:t>--------------------------------------------------------------------------------------------------------------------------------</w:t>
      </w:r>
    </w:p>
    <w:p>
      <w:pPr>
        <w:ind w:left="2730" w:leftChars="1300"/>
      </w:pPr>
      <w:r>
        <w:rPr>
          <w:rFonts w:hint="eastAsia"/>
        </w:rPr>
        <w:t xml:space="preserve">起草单位：广东一方制药有限公司 </w:t>
      </w:r>
      <w:r>
        <w:t xml:space="preserve"> </w:t>
      </w:r>
      <w:r>
        <w:rPr>
          <w:rFonts w:hint="eastAsia"/>
        </w:rPr>
        <w:t>广东省药品质量研究所</w:t>
      </w:r>
    </w:p>
    <w:p>
      <w:pPr>
        <w:ind w:left="2730" w:leftChars="1300"/>
      </w:pPr>
      <w:r>
        <w:rPr>
          <w:rFonts w:hint="eastAsia"/>
        </w:rPr>
        <w:t>复核单位：广东省药品检验所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1"/>
      </w:rPr>
      <w:pict>
        <v:shape id="PowerPlusWaterMarkObject64809" o:spid="_x0000_s4097" o:spt="136" type="#_x0000_t136" style="position:absolute;left:0pt;height:48.3pt;width:63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广东省地方中药材质量标准公示稿" style="font-family:宋体;font-size:48pt;v-same-letter-heights:f;v-text-align:center;"/>
        </v:shape>
      </w:pict>
    </w:r>
    <w:r>
      <w:rPr>
        <w:rFonts w:hint="eastAsia"/>
        <w:sz w:val="21"/>
        <w:szCs w:val="21"/>
      </w:rPr>
      <w:t>广东省中药材标准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C"/>
    <w:rsid w:val="000635FA"/>
    <w:rsid w:val="00084628"/>
    <w:rsid w:val="003433DF"/>
    <w:rsid w:val="00426437"/>
    <w:rsid w:val="004F394C"/>
    <w:rsid w:val="0F0D14FB"/>
    <w:rsid w:val="246B54EE"/>
    <w:rsid w:val="26CF2449"/>
    <w:rsid w:val="292B6672"/>
    <w:rsid w:val="54B83B6E"/>
    <w:rsid w:val="6B5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2</Pages>
  <Words>322</Words>
  <Characters>1836</Characters>
  <Lines>15</Lines>
  <Paragraphs>4</Paragraphs>
  <TotalTime>30</TotalTime>
  <ScaleCrop>false</ScaleCrop>
  <LinksUpToDate>false</LinksUpToDate>
  <CharactersWithSpaces>2154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2023-12-27T04:48:00Z</dcterms:created>
  <dc:creator>xtc</dc:creator>
  <cp:lastModifiedBy>林锦锋</cp:lastModifiedBy>
  <dcterms:modified xsi:type="dcterms:W3CDTF">2024-05-21T01:17:06Z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E2E1B961FBBC4DA5940B9770D8C76F18</vt:lpwstr>
  </property>
</Properties>
</file>