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仿宋" w:hAnsi="仿宋" w:eastAsia="仿宋" w:cs="仿宋"/>
          <w:b/>
          <w:bCs/>
          <w:i w:val="0"/>
          <w:iCs w:val="0"/>
          <w:caps w:val="0"/>
          <w:color w:val="333333"/>
          <w:spacing w:val="0"/>
          <w:sz w:val="44"/>
          <w:szCs w:val="44"/>
        </w:rPr>
      </w:pPr>
      <w:r>
        <w:rPr>
          <w:rFonts w:hint="eastAsia" w:ascii="仿宋" w:hAnsi="仿宋" w:eastAsia="仿宋" w:cs="仿宋"/>
          <w:b/>
          <w:bCs/>
          <w:i w:val="0"/>
          <w:iCs w:val="0"/>
          <w:caps w:val="0"/>
          <w:color w:val="333333"/>
          <w:spacing w:val="0"/>
          <w:sz w:val="44"/>
          <w:szCs w:val="44"/>
          <w:shd w:val="clear" w:fill="FFFFFF"/>
        </w:rPr>
        <w:t>中检院关于发布《化妆品安全评估资料提交指南》等2项技术指导原则的通知</w:t>
      </w:r>
    </w:p>
    <w:p>
      <w:pPr>
        <w:keepNext w:val="0"/>
        <w:keepLines w:val="0"/>
        <w:widowControl/>
        <w:suppressLineNumbers w:val="0"/>
        <w:pBdr>
          <w:top w:val="none" w:color="auto" w:sz="0" w:space="0"/>
          <w:left w:val="none" w:color="auto" w:sz="0" w:space="0"/>
          <w:bottom w:val="single" w:color="989898" w:sz="4" w:space="4"/>
          <w:right w:val="none" w:color="auto" w:sz="0" w:space="0"/>
        </w:pBdr>
        <w:shd w:val="clear" w:fill="FFFFFF"/>
        <w:spacing w:before="0" w:beforeAutospacing="0" w:after="0" w:afterAutospacing="0" w:line="210" w:lineRule="atLeast"/>
        <w:ind w:left="0" w:right="0" w:firstLine="5120" w:firstLineChars="1600"/>
        <w:jc w:val="left"/>
        <w:rPr>
          <w:rFonts w:hint="eastAsia" w:ascii="仿宋" w:hAnsi="仿宋" w:eastAsia="仿宋" w:cs="仿宋"/>
          <w:i w:val="0"/>
          <w:iCs w:val="0"/>
          <w:caps w:val="0"/>
          <w:color w:val="919191"/>
          <w:spacing w:val="0"/>
          <w:sz w:val="32"/>
          <w:szCs w:val="32"/>
        </w:rPr>
      </w:pPr>
      <w:r>
        <w:rPr>
          <w:rFonts w:hint="eastAsia" w:ascii="仿宋" w:hAnsi="仿宋" w:eastAsia="仿宋" w:cs="仿宋"/>
          <w:i w:val="0"/>
          <w:iCs w:val="0"/>
          <w:caps w:val="0"/>
          <w:color w:val="919191"/>
          <w:spacing w:val="0"/>
          <w:kern w:val="0"/>
          <w:sz w:val="32"/>
          <w:szCs w:val="32"/>
          <w:shd w:val="clear" w:fill="FFFFFF"/>
          <w:lang w:val="en-US" w:eastAsia="zh-CN" w:bidi="ar"/>
        </w:rPr>
        <w:t>发布时间：2024-04-30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jc w:val="left"/>
        <w:rPr>
          <w:rFonts w:hint="eastAsia" w:ascii="仿宋" w:hAnsi="仿宋" w:eastAsia="仿宋" w:cs="仿宋"/>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为引导化妆品行业提升化妆品安全评估能力和水平，推进化妆品安全评估制度有序实施，根据《化妆品监督管理条例》《化妆品注册备案管理办法》等相</w:t>
      </w:r>
      <w:bookmarkStart w:id="0" w:name="_GoBack"/>
      <w:bookmarkEnd w:id="0"/>
      <w:r>
        <w:rPr>
          <w:rFonts w:hint="eastAsia" w:ascii="仿宋" w:hAnsi="仿宋" w:eastAsia="仿宋" w:cs="仿宋"/>
          <w:i w:val="0"/>
          <w:iCs w:val="0"/>
          <w:caps w:val="0"/>
          <w:color w:val="000000"/>
          <w:spacing w:val="0"/>
          <w:sz w:val="32"/>
          <w:szCs w:val="32"/>
          <w:shd w:val="clear" w:fill="FFFFFF"/>
        </w:rPr>
        <w:t>关法规要求以及《国家药监局关于发布优化化妆品安全评估管理若干措施的公告》（2024年第50号）要求，中检院制定了《化妆品安全评估资料提交指南》和《化妆品风险物质识别与评估技术指导原则》（详见附件）。按照《国家药监局综合司关于印发化妆品技术指导原则发布工作程序的通知》（药监综妆〔2022〕32号），现予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特此通知。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1.《化妆品安全评估资料提交指南》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2.《化妆品风险物质识别与评估技术指导原则》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righ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          中检院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320"/>
        <w:jc w:val="righ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shd w:val="clear" w:fill="FFFFFF"/>
        </w:rPr>
        <w:t>2024年4月30日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16FE1"/>
    <w:rsid w:val="15466458"/>
    <w:rsid w:val="782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2024-04-30T23:07:00Z</dcterms:created>
  <dc:creator>方继辉</dc:creator>
  <cp:lastModifiedBy>李杨杰</cp:lastModifiedBy>
  <dcterms:modified xsi:type="dcterms:W3CDTF">2024-11-18T04:01:57Z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2BF2DDD59FD94985BEFB1DE4A158F7ED</vt:lpwstr>
  </property>
</Properties>
</file>