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firstLine="880" w:firstLineChars="200"/>
        <w:jc w:val="center"/>
        <w:rPr>
          <w:rFonts w:hint="eastAsia" w:ascii="方正小标宋简体" w:hAnsi="方正小标宋简体" w:eastAsia="方正小标宋简体" w:cs="方正小标宋简体"/>
          <w:b w:val="0"/>
          <w:color w:val="000000"/>
          <w:sz w:val="44"/>
          <w:szCs w:val="44"/>
        </w:rPr>
      </w:pPr>
      <w:bookmarkStart w:id="0" w:name="_GoBack"/>
      <w:bookmarkEnd w:id="0"/>
      <w:r>
        <w:rPr>
          <w:rStyle w:val="7"/>
          <w:rFonts w:hint="eastAsia" w:ascii="方正小标宋简体" w:hAnsi="方正小标宋简体" w:eastAsia="方正小标宋简体" w:cs="方正小标宋简体"/>
          <w:b w:val="0"/>
          <w:color w:val="000000"/>
          <w:sz w:val="44"/>
          <w:szCs w:val="44"/>
        </w:rPr>
        <w:t>化妆品委托检验指南</w:t>
      </w:r>
    </w:p>
    <w:p>
      <w:pPr>
        <w:pStyle w:val="4"/>
        <w:adjustRightInd w:val="0"/>
        <w:snapToGrid w:val="0"/>
        <w:spacing w:before="0" w:beforeAutospacing="0" w:after="0" w:afterAutospacing="0" w:line="600" w:lineRule="exact"/>
        <w:ind w:firstLine="640" w:firstLineChars="200"/>
        <w:jc w:val="both"/>
        <w:rPr>
          <w:rFonts w:hint="eastAsia" w:ascii="黑体" w:eastAsia="黑体" w:hAnsiTheme="minorEastAsia"/>
          <w:color w:val="000000"/>
          <w:sz w:val="32"/>
          <w:szCs w:val="32"/>
        </w:rPr>
      </w:pPr>
    </w:p>
    <w:p>
      <w:pPr>
        <w:pStyle w:val="4"/>
        <w:adjustRightInd w:val="0"/>
        <w:snapToGrid w:val="0"/>
        <w:spacing w:before="0" w:beforeAutospacing="0" w:after="0" w:afterAutospacing="0" w:line="600" w:lineRule="exact"/>
        <w:ind w:firstLine="640" w:firstLineChars="200"/>
        <w:jc w:val="both"/>
        <w:rPr>
          <w:rFonts w:ascii="黑体" w:eastAsia="黑体" w:hAnsiTheme="minorEastAsia"/>
          <w:color w:val="000000"/>
          <w:sz w:val="32"/>
          <w:szCs w:val="32"/>
        </w:rPr>
      </w:pPr>
      <w:r>
        <w:rPr>
          <w:rFonts w:hint="eastAsia" w:ascii="黑体" w:eastAsia="黑体" w:hAnsiTheme="minorEastAsia"/>
          <w:color w:val="000000"/>
          <w:sz w:val="32"/>
          <w:szCs w:val="32"/>
        </w:rPr>
        <w:t>一、</w:t>
      </w:r>
      <w:r>
        <w:rPr>
          <w:rFonts w:hint="eastAsia" w:ascii="黑体" w:eastAsia="黑体"/>
          <w:color w:val="000000"/>
          <w:sz w:val="32"/>
          <w:szCs w:val="32"/>
        </w:rPr>
        <w:t>概述</w:t>
      </w:r>
    </w:p>
    <w:p>
      <w:pPr>
        <w:pStyle w:val="4"/>
        <w:widowControl w:val="0"/>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2021年1月1日起施行的《化妆品监督管理条例》：</w:t>
      </w:r>
    </w:p>
    <w:p>
      <w:pPr>
        <w:pStyle w:val="4"/>
        <w:widowControl w:val="0"/>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 xml:space="preserve">第二章 </w:t>
      </w:r>
      <w:r>
        <w:rPr>
          <w:rFonts w:hint="eastAsia" w:ascii="仿宋_GB2312" w:eastAsia="仿宋_GB2312"/>
          <w:color w:val="000000"/>
          <w:sz w:val="32"/>
          <w:szCs w:val="32"/>
          <w:lang w:val="en-US" w:eastAsia="zh-CN"/>
        </w:rPr>
        <w:t xml:space="preserve"> </w:t>
      </w:r>
      <w:r>
        <w:rPr>
          <w:rFonts w:hint="eastAsia" w:ascii="仿宋_GB2312" w:eastAsia="仿宋_GB2312"/>
          <w:color w:val="000000"/>
          <w:sz w:val="32"/>
          <w:szCs w:val="32"/>
        </w:rPr>
        <w:t>第十六条</w:t>
      </w:r>
      <w:r>
        <w:rPr>
          <w:rFonts w:hint="eastAsia" w:ascii="仿宋_GB2312" w:eastAsia="仿宋_GB2312"/>
          <w:color w:val="000000"/>
          <w:sz w:val="32"/>
          <w:szCs w:val="32"/>
          <w:lang w:val="en-US" w:eastAsia="zh-CN"/>
        </w:rPr>
        <w:t xml:space="preserve">  </w:t>
      </w:r>
      <w:r>
        <w:rPr>
          <w:rFonts w:hint="eastAsia" w:ascii="仿宋_GB2312" w:eastAsia="仿宋_GB2312"/>
          <w:color w:val="000000"/>
          <w:sz w:val="32"/>
          <w:szCs w:val="32"/>
        </w:rPr>
        <w:t>用于染发、烫发、祛斑美白、防晒、防脱发的化妆品以及宣称新功效的化妆品为特殊化妆品。特殊化妆品以外的化妆品为普通化妆品。国务院药品监督管理部门根据化妆品的功效宣称、作用部位、产品剂型、使用人群等因素，制定、公布化妆品分类规则和分类目录。</w:t>
      </w:r>
    </w:p>
    <w:p>
      <w:pPr>
        <w:pStyle w:val="4"/>
        <w:widowControl w:val="0"/>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第六章</w:t>
      </w:r>
      <w:r>
        <w:rPr>
          <w:rFonts w:hint="eastAsia" w:ascii="仿宋_GB2312" w:eastAsia="仿宋_GB2312"/>
          <w:color w:val="000000"/>
          <w:sz w:val="32"/>
          <w:szCs w:val="32"/>
          <w:lang w:val="en-US" w:eastAsia="zh-CN"/>
        </w:rPr>
        <w:t xml:space="preserve">  </w:t>
      </w:r>
      <w:r>
        <w:rPr>
          <w:rFonts w:hint="eastAsia" w:ascii="仿宋_GB2312" w:eastAsia="仿宋_GB2312"/>
          <w:color w:val="000000"/>
          <w:sz w:val="32"/>
          <w:szCs w:val="32"/>
        </w:rPr>
        <w:t>附则</w:t>
      </w:r>
      <w:r>
        <w:rPr>
          <w:rFonts w:hint="eastAsia" w:ascii="仿宋_GB2312" w:eastAsia="仿宋_GB2312"/>
          <w:color w:val="000000"/>
          <w:sz w:val="32"/>
          <w:szCs w:val="32"/>
          <w:lang w:val="en-US" w:eastAsia="zh-CN"/>
        </w:rPr>
        <w:t xml:space="preserve">  </w:t>
      </w:r>
      <w:r>
        <w:rPr>
          <w:rFonts w:hint="eastAsia" w:ascii="仿宋_GB2312" w:eastAsia="仿宋_GB2312"/>
          <w:color w:val="000000"/>
          <w:sz w:val="32"/>
          <w:szCs w:val="32"/>
        </w:rPr>
        <w:t>第七十八条</w:t>
      </w:r>
      <w:r>
        <w:rPr>
          <w:rFonts w:hint="eastAsia" w:eastAsia="仿宋_GB2312"/>
          <w:color w:val="000000"/>
          <w:sz w:val="32"/>
          <w:szCs w:val="32"/>
          <w:lang w:val="en-US" w:eastAsia="zh-CN"/>
        </w:rPr>
        <w:t xml:space="preserve">  </w:t>
      </w:r>
      <w:r>
        <w:rPr>
          <w:rFonts w:hint="eastAsia" w:ascii="仿宋_GB2312" w:eastAsia="仿宋_GB2312"/>
          <w:color w:val="000000"/>
          <w:sz w:val="32"/>
          <w:szCs w:val="32"/>
        </w:rPr>
        <w:t>对本条例施行前已经注册的用于育发、脱毛、美乳、健美、除臭的化妆品自本条例施行之日起设置5年的过渡期，过渡期内可以继续生产、进口、销售，过渡期满后不得生产、进口、销售该化妆品。</w:t>
      </w:r>
    </w:p>
    <w:p>
      <w:pPr>
        <w:pStyle w:val="4"/>
        <w:widowControl w:val="0"/>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化妆品分为特殊化妆品和普通化妆品。国家对特殊化妆品实行注册管理，对普通化妆品实行备案管理。化妆品原料分为新原料和已使用的原料。国家对风险程度较高的化妆品新原料实行注册管理，对其他化妆品新原料实行备案管理。</w:t>
      </w:r>
    </w:p>
    <w:p>
      <w:pPr>
        <w:pStyle w:val="4"/>
        <w:widowControl w:val="0"/>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特殊化妆品经国务院药品监督管理部门注册后方可生产、进口。国产普通化妆品应当在上市销售前向备案人所在地省、自治区、直辖市人民政府药品监督管理部门备案。进口普通化妆品应当在进口前向国务院药品监督管理部门备案。</w:t>
      </w:r>
    </w:p>
    <w:p>
      <w:pPr>
        <w:pStyle w:val="4"/>
        <w:widowControl w:val="0"/>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我所作为化妆品注册和备案检验信息管理系统里的检验机构之一，承担进口化妆品及国产化妆品卫生安全性检验；也可接受企业委托根据《化妆品安全技术规范》（2015年版）等标准开展化妆品卫生安全（如微生物、铅、汞、砷、镉，多次皮肤刺激性试验、眼刺激性试验等）的检验。</w:t>
      </w:r>
    </w:p>
    <w:p>
      <w:pPr>
        <w:pStyle w:val="4"/>
        <w:tabs>
          <w:tab w:val="left" w:pos="6960"/>
        </w:tabs>
        <w:adjustRightInd w:val="0"/>
        <w:snapToGrid w:val="0"/>
        <w:spacing w:before="0" w:beforeAutospacing="0" w:after="0" w:afterAutospacing="0" w:line="600" w:lineRule="exact"/>
        <w:ind w:firstLine="640" w:firstLineChars="200"/>
        <w:jc w:val="both"/>
        <w:rPr>
          <w:rFonts w:ascii="黑体" w:eastAsia="黑体" w:hAnsiTheme="minorEastAsia"/>
          <w:color w:val="000000"/>
          <w:sz w:val="32"/>
          <w:szCs w:val="32"/>
        </w:rPr>
      </w:pPr>
      <w:r>
        <w:rPr>
          <w:rFonts w:hint="eastAsia" w:ascii="黑体" w:eastAsia="黑体" w:hAnsiTheme="minorEastAsia"/>
          <w:color w:val="000000"/>
          <w:sz w:val="32"/>
          <w:szCs w:val="32"/>
        </w:rPr>
        <w:t>二、送检要求</w:t>
      </w:r>
    </w:p>
    <w:p>
      <w:pPr>
        <w:pStyle w:val="4"/>
        <w:adjustRightInd w:val="0"/>
        <w:snapToGrid w:val="0"/>
        <w:spacing w:before="0" w:beforeAutospacing="0" w:after="0" w:afterAutospacing="0" w:line="600" w:lineRule="exact"/>
        <w:ind w:firstLine="640" w:firstLineChars="200"/>
        <w:jc w:val="both"/>
        <w:rPr>
          <w:rFonts w:hint="eastAsia" w:ascii="楷体" w:hAnsi="楷体" w:eastAsia="楷体" w:cs="楷体"/>
          <w:color w:val="000000"/>
          <w:sz w:val="32"/>
          <w:szCs w:val="32"/>
          <w:lang w:eastAsia="zh-CN"/>
        </w:rPr>
      </w:pPr>
      <w:r>
        <w:rPr>
          <w:rFonts w:hint="eastAsia" w:ascii="楷体" w:hAnsi="楷体" w:eastAsia="楷体" w:cs="楷体"/>
          <w:bCs/>
          <w:color w:val="000000"/>
          <w:sz w:val="32"/>
          <w:szCs w:val="32"/>
        </w:rPr>
        <w:t>（一）资料要求</w:t>
      </w:r>
      <w:r>
        <w:rPr>
          <w:rFonts w:hint="eastAsia" w:ascii="楷体" w:hAnsi="楷体" w:eastAsia="楷体" w:cs="楷体"/>
          <w:bCs/>
          <w:color w:val="000000"/>
          <w:sz w:val="32"/>
          <w:szCs w:val="32"/>
          <w:lang w:eastAsia="zh-CN"/>
        </w:rPr>
        <w:t>（</w:t>
      </w:r>
      <w:r>
        <w:rPr>
          <w:rFonts w:hint="eastAsia" w:ascii="楷体" w:hAnsi="楷体" w:eastAsia="楷体" w:cs="楷体"/>
          <w:color w:val="000000"/>
          <w:sz w:val="32"/>
          <w:szCs w:val="32"/>
        </w:rPr>
        <w:t>以下资料均应加盖委托方公章方有效</w:t>
      </w:r>
      <w:r>
        <w:rPr>
          <w:rFonts w:hint="eastAsia" w:ascii="楷体" w:hAnsi="楷体" w:eastAsia="楷体" w:cs="楷体"/>
          <w:color w:val="000000"/>
          <w:sz w:val="32"/>
          <w:szCs w:val="32"/>
          <w:lang w:eastAsia="zh-CN"/>
        </w:rPr>
        <w:t>）</w:t>
      </w:r>
    </w:p>
    <w:p>
      <w:pPr>
        <w:pStyle w:val="4"/>
        <w:adjustRightInd w:val="0"/>
        <w:snapToGrid w:val="0"/>
        <w:spacing w:before="0" w:beforeAutospacing="0" w:after="0" w:afterAutospacing="0" w:line="600" w:lineRule="exact"/>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1.生产企业卫生许可证复印件，如有委托生产的请提供被委托方的卫生许可证复印件及委托方的营业执照复印件，进口产品需提供国内代办企业营业执照复印件，一式一份（加盖申请单位公章）。</w:t>
      </w:r>
    </w:p>
    <w:p>
      <w:pPr>
        <w:adjustRightInd w:val="0"/>
        <w:snapToGrid w:val="0"/>
        <w:spacing w:line="600" w:lineRule="exact"/>
        <w:ind w:left="0" w:leftChars="0" w:firstLine="640" w:firstLineChars="200"/>
        <w:rPr>
          <w:rFonts w:hint="eastAsia" w:ascii="仿宋_GB2312" w:hAnsi="宋体" w:eastAsia="仿宋_GB2312"/>
          <w:sz w:val="32"/>
          <w:szCs w:val="32"/>
          <w:lang w:eastAsia="zh-CN"/>
        </w:rPr>
      </w:pPr>
      <w:r>
        <w:rPr>
          <w:rFonts w:hint="eastAsia" w:ascii="仿宋_GB2312" w:eastAsia="仿宋_GB2312"/>
          <w:color w:val="000000"/>
          <w:sz w:val="32"/>
          <w:szCs w:val="32"/>
        </w:rPr>
        <w:t>2.</w:t>
      </w:r>
      <w:r>
        <w:rPr>
          <w:rFonts w:hint="eastAsia" w:ascii="仿宋_GB2312" w:eastAsia="仿宋_GB2312"/>
          <w:color w:val="000000"/>
          <w:sz w:val="32"/>
          <w:szCs w:val="32"/>
          <w:lang w:val="en-US" w:eastAsia="zh-CN"/>
        </w:rPr>
        <w:t>线上完成业务申请：</w:t>
      </w:r>
      <w:r>
        <w:rPr>
          <w:rFonts w:hint="eastAsia" w:ascii="仿宋_GB2312" w:hAnsi="宋体" w:eastAsia="仿宋_GB2312"/>
          <w:i w:val="0"/>
          <w:sz w:val="32"/>
          <w:szCs w:val="32"/>
          <w:lang w:eastAsia="zh-CN"/>
        </w:rPr>
        <w:t>（</w:t>
      </w:r>
      <w:r>
        <w:rPr>
          <w:rFonts w:hint="eastAsia" w:ascii="仿宋_GB2312" w:hAnsi="宋体" w:eastAsia="仿宋_GB2312"/>
          <w:i w:val="0"/>
          <w:sz w:val="32"/>
          <w:szCs w:val="32"/>
          <w:lang w:val="en-US" w:eastAsia="zh-CN"/>
        </w:rPr>
        <w:t>1</w:t>
      </w:r>
      <w:r>
        <w:rPr>
          <w:rFonts w:hint="eastAsia" w:ascii="仿宋_GB2312" w:hAnsi="宋体" w:eastAsia="仿宋_GB2312"/>
          <w:i w:val="0"/>
          <w:sz w:val="32"/>
          <w:szCs w:val="32"/>
          <w:lang w:eastAsia="zh-CN"/>
        </w:rPr>
        <w:t>）</w:t>
      </w:r>
      <w:r>
        <w:rPr>
          <w:rFonts w:hint="eastAsia" w:ascii="仿宋_GB2312" w:hAnsi="宋体" w:eastAsia="仿宋_GB2312"/>
          <w:i w:val="0"/>
          <w:sz w:val="32"/>
          <w:szCs w:val="32"/>
        </w:rPr>
        <w:t>首次送检客户请登录</w:t>
      </w:r>
      <w:r>
        <w:rPr>
          <w:rFonts w:hint="eastAsia" w:ascii="仿宋_GB2312" w:eastAsia="仿宋_GB2312"/>
          <w:i w:val="0"/>
          <w:sz w:val="32"/>
          <w:szCs w:val="32"/>
        </w:rPr>
        <w:t>我所</w:t>
      </w:r>
      <w:r>
        <w:rPr>
          <w:rFonts w:hint="eastAsia" w:ascii="仿宋_GB2312" w:eastAsia="仿宋_GB2312"/>
          <w:i w:val="0"/>
          <w:sz w:val="32"/>
          <w:szCs w:val="32"/>
          <w:lang w:val="en-US" w:eastAsia="zh-CN"/>
        </w:rPr>
        <w:t>公众</w:t>
      </w:r>
      <w:r>
        <w:rPr>
          <w:rFonts w:hint="eastAsia" w:ascii="仿宋_GB2312" w:eastAsia="仿宋_GB2312"/>
          <w:i w:val="0"/>
          <w:sz w:val="32"/>
          <w:szCs w:val="32"/>
        </w:rPr>
        <w:t>网（</w:t>
      </w:r>
      <w:r>
        <w:rPr>
          <w:rFonts w:hint="eastAsia" w:ascii="仿宋_GB2312" w:eastAsia="仿宋_GB2312"/>
          <w:i w:val="0"/>
          <w:sz w:val="32"/>
          <w:szCs w:val="32"/>
          <w:lang w:val="en-US" w:eastAsia="zh-CN"/>
        </w:rPr>
        <w:t>网址：</w:t>
      </w:r>
      <w:r>
        <w:rPr>
          <w:rFonts w:ascii="仿宋_GB2312" w:eastAsia="仿宋_GB2312"/>
          <w:i w:val="0"/>
          <w:sz w:val="32"/>
          <w:szCs w:val="32"/>
        </w:rPr>
        <w:t>http://gdidc.gd.gov.cn</w:t>
      </w:r>
      <w:r>
        <w:rPr>
          <w:rFonts w:hint="eastAsia" w:ascii="仿宋_GB2312" w:eastAsia="仿宋_GB2312"/>
          <w:i w:val="0"/>
          <w:sz w:val="32"/>
          <w:szCs w:val="32"/>
        </w:rPr>
        <w:t>）首页</w:t>
      </w:r>
      <w:r>
        <w:rPr>
          <w:rFonts w:hint="eastAsia" w:ascii="仿宋_GB2312" w:hAnsi="宋体" w:eastAsia="仿宋_GB2312"/>
          <w:b w:val="0"/>
          <w:sz w:val="32"/>
          <w:szCs w:val="32"/>
        </w:rPr>
        <w:t>→</w:t>
      </w:r>
      <w:r>
        <w:rPr>
          <w:rFonts w:hint="eastAsia" w:ascii="仿宋_GB2312" w:eastAsia="仿宋_GB2312"/>
          <w:i w:val="0"/>
          <w:sz w:val="32"/>
          <w:szCs w:val="32"/>
        </w:rPr>
        <w:t>政务服务</w:t>
      </w:r>
      <w:r>
        <w:rPr>
          <w:rFonts w:hint="eastAsia" w:ascii="仿宋_GB2312" w:hAnsi="宋体" w:eastAsia="仿宋_GB2312"/>
          <w:b w:val="0"/>
          <w:sz w:val="32"/>
          <w:szCs w:val="32"/>
        </w:rPr>
        <w:t>→</w:t>
      </w:r>
      <w:r>
        <w:rPr>
          <w:rFonts w:hint="eastAsia" w:ascii="仿宋_GB2312" w:eastAsia="仿宋_GB2312"/>
          <w:i w:val="0"/>
          <w:sz w:val="32"/>
          <w:szCs w:val="32"/>
        </w:rPr>
        <w:t>业务受理注册账号</w:t>
      </w:r>
      <w:r>
        <w:rPr>
          <w:rFonts w:hint="eastAsia" w:ascii="仿宋_GB2312" w:eastAsia="仿宋_GB2312"/>
          <w:i w:val="0"/>
          <w:sz w:val="32"/>
          <w:szCs w:val="32"/>
          <w:lang w:eastAsia="zh-CN"/>
        </w:rPr>
        <w:t>（</w:t>
      </w:r>
      <w:r>
        <w:rPr>
          <w:rFonts w:hint="eastAsia" w:ascii="仿宋_GB2312" w:eastAsia="仿宋_GB2312"/>
          <w:i w:val="0"/>
          <w:sz w:val="32"/>
          <w:szCs w:val="32"/>
          <w:lang w:val="en-US" w:eastAsia="zh-CN"/>
        </w:rPr>
        <w:t>需要注册法人账号、个人账号，法人账号需要授权给个人账号</w:t>
      </w:r>
      <w:r>
        <w:rPr>
          <w:rFonts w:hint="eastAsia" w:ascii="仿宋_GB2312" w:eastAsia="仿宋_GB2312"/>
          <w:i w:val="0"/>
          <w:sz w:val="32"/>
          <w:szCs w:val="32"/>
          <w:lang w:eastAsia="zh-CN"/>
        </w:rPr>
        <w:t>），</w:t>
      </w:r>
      <w:r>
        <w:rPr>
          <w:rFonts w:hint="eastAsia" w:ascii="仿宋_GB2312" w:eastAsia="仿宋_GB2312"/>
          <w:i w:val="0"/>
          <w:sz w:val="32"/>
          <w:szCs w:val="32"/>
        </w:rPr>
        <w:t>登录</w:t>
      </w:r>
      <w:r>
        <w:rPr>
          <w:rFonts w:hint="eastAsia" w:ascii="仿宋_GB2312" w:eastAsia="仿宋_GB2312"/>
          <w:i w:val="0"/>
          <w:sz w:val="32"/>
          <w:szCs w:val="32"/>
          <w:lang w:val="en-US" w:eastAsia="zh-CN"/>
        </w:rPr>
        <w:t>个人账号申请</w:t>
      </w:r>
      <w:r>
        <w:rPr>
          <w:rFonts w:hint="eastAsia" w:ascii="仿宋_GB2312" w:eastAsia="仿宋_GB2312"/>
          <w:i w:val="0"/>
          <w:sz w:val="32"/>
          <w:szCs w:val="32"/>
          <w:lang w:eastAsia="zh-CN"/>
        </w:rPr>
        <w:t>：</w:t>
      </w:r>
      <w:r>
        <w:rPr>
          <w:rFonts w:hint="eastAsia" w:ascii="仿宋_GB2312" w:eastAsia="仿宋_GB2312"/>
          <w:i w:val="0"/>
          <w:sz w:val="32"/>
          <w:szCs w:val="32"/>
        </w:rPr>
        <w:t>检验业务</w:t>
      </w:r>
      <w:r>
        <w:rPr>
          <w:rFonts w:hint="eastAsia" w:ascii="仿宋_GB2312" w:hAnsi="宋体" w:eastAsia="仿宋_GB2312"/>
          <w:b w:val="0"/>
          <w:sz w:val="32"/>
          <w:szCs w:val="32"/>
        </w:rPr>
        <w:t>→</w:t>
      </w:r>
      <w:r>
        <w:rPr>
          <w:rFonts w:hint="eastAsia" w:ascii="仿宋_GB2312" w:eastAsia="仿宋_GB2312"/>
          <w:i w:val="0"/>
          <w:sz w:val="32"/>
          <w:szCs w:val="32"/>
        </w:rPr>
        <w:t>检品受理</w:t>
      </w:r>
      <w:r>
        <w:rPr>
          <w:rFonts w:hint="eastAsia" w:ascii="仿宋_GB2312" w:hAnsi="宋体" w:eastAsia="仿宋_GB2312"/>
          <w:b w:val="0"/>
          <w:sz w:val="32"/>
          <w:szCs w:val="32"/>
        </w:rPr>
        <w:t>→</w:t>
      </w:r>
      <w:r>
        <w:rPr>
          <w:rFonts w:hint="eastAsia" w:ascii="仿宋_GB2312" w:eastAsia="仿宋_GB2312"/>
          <w:i w:val="0"/>
          <w:sz w:val="32"/>
          <w:szCs w:val="32"/>
        </w:rPr>
        <w:t>添加，双击添加的</w:t>
      </w:r>
      <w:r>
        <w:rPr>
          <w:rFonts w:hint="eastAsia" w:ascii="仿宋_GB2312" w:eastAsia="仿宋_GB2312"/>
          <w:i w:val="0"/>
          <w:sz w:val="32"/>
          <w:szCs w:val="32"/>
          <w:lang w:val="en-US" w:eastAsia="zh-CN"/>
        </w:rPr>
        <w:t>受理</w:t>
      </w:r>
      <w:r>
        <w:rPr>
          <w:rFonts w:hint="eastAsia" w:ascii="仿宋_GB2312" w:eastAsia="仿宋_GB2312"/>
          <w:i w:val="0"/>
          <w:sz w:val="32"/>
          <w:szCs w:val="32"/>
        </w:rPr>
        <w:t>单，填写基本信息，上传送检资料附件。填写完成后提交</w:t>
      </w:r>
      <w:r>
        <w:rPr>
          <w:rFonts w:hint="eastAsia" w:ascii="仿宋_GB2312" w:eastAsia="仿宋_GB2312"/>
          <w:i w:val="0"/>
          <w:sz w:val="32"/>
          <w:szCs w:val="32"/>
          <w:lang w:eastAsia="zh-CN"/>
        </w:rPr>
        <w:t>，</w:t>
      </w:r>
      <w:r>
        <w:rPr>
          <w:rFonts w:hint="eastAsia" w:ascii="仿宋_GB2312" w:hAnsi="宋体" w:eastAsia="仿宋_GB2312"/>
          <w:i w:val="0"/>
          <w:sz w:val="32"/>
          <w:szCs w:val="32"/>
          <w:lang w:val="en-US" w:eastAsia="zh-CN"/>
        </w:rPr>
        <w:t>待审核通过后，下载委托单并打印。委托单（服务协议书）</w:t>
      </w:r>
      <w:r>
        <w:rPr>
          <w:rFonts w:hint="eastAsia" w:ascii="仿宋_GB2312" w:hAnsi="宋体" w:eastAsia="仿宋_GB2312"/>
          <w:i w:val="0"/>
          <w:sz w:val="32"/>
          <w:szCs w:val="32"/>
        </w:rPr>
        <w:t>及其它送检资料逐一加盖送检单位公章（如一份完整资料页面较多的，首页页面盖章，其它盖骑缝章）</w:t>
      </w:r>
      <w:r>
        <w:rPr>
          <w:rFonts w:hint="eastAsia" w:ascii="仿宋_GB2312" w:hAnsi="宋体" w:eastAsia="仿宋_GB2312"/>
          <w:i w:val="0"/>
          <w:sz w:val="32"/>
          <w:szCs w:val="32"/>
          <w:lang w:val="en-US" w:eastAsia="zh-CN"/>
        </w:rPr>
        <w:t>。</w:t>
      </w:r>
      <w:r>
        <w:rPr>
          <w:rFonts w:hint="eastAsia" w:ascii="仿宋_GB2312" w:hAnsi="宋体" w:eastAsia="仿宋_GB2312"/>
          <w:i w:val="0"/>
          <w:sz w:val="32"/>
          <w:szCs w:val="32"/>
          <w:lang w:eastAsia="zh-CN"/>
        </w:rPr>
        <w:t>（</w:t>
      </w:r>
      <w:r>
        <w:rPr>
          <w:rFonts w:hint="eastAsia" w:ascii="仿宋_GB2312" w:hAnsi="宋体" w:eastAsia="仿宋_GB2312"/>
          <w:i w:val="0"/>
          <w:sz w:val="32"/>
          <w:szCs w:val="32"/>
          <w:lang w:val="en-US" w:eastAsia="zh-CN"/>
        </w:rPr>
        <w:t>2</w:t>
      </w:r>
      <w:r>
        <w:rPr>
          <w:rFonts w:hint="eastAsia" w:ascii="仿宋_GB2312" w:hAnsi="宋体" w:eastAsia="仿宋_GB2312"/>
          <w:i w:val="0"/>
          <w:sz w:val="32"/>
          <w:szCs w:val="32"/>
          <w:lang w:eastAsia="zh-CN"/>
        </w:rPr>
        <w:t>）</w:t>
      </w:r>
      <w:r>
        <w:rPr>
          <w:rFonts w:hint="eastAsia" w:ascii="仿宋_GB2312" w:hAnsi="宋体" w:eastAsia="仿宋_GB2312"/>
          <w:i w:val="0"/>
          <w:sz w:val="32"/>
          <w:szCs w:val="32"/>
        </w:rPr>
        <w:t>非首次送检客户请用已注册账号和密码登录我所官网根据不同检验类别</w:t>
      </w:r>
      <w:r>
        <w:rPr>
          <w:rFonts w:hint="eastAsia" w:ascii="仿宋_GB2312" w:hAnsi="宋体" w:eastAsia="仿宋_GB2312"/>
          <w:i w:val="0"/>
          <w:sz w:val="32"/>
          <w:szCs w:val="32"/>
          <w:lang w:val="en-US" w:eastAsia="zh-CN"/>
        </w:rPr>
        <w:t>申请检验业务并</w:t>
      </w:r>
      <w:r>
        <w:rPr>
          <w:rFonts w:hint="eastAsia" w:ascii="仿宋_GB2312" w:hAnsi="宋体" w:eastAsia="仿宋_GB2312"/>
          <w:i w:val="0"/>
          <w:sz w:val="32"/>
          <w:szCs w:val="32"/>
        </w:rPr>
        <w:t>按</w:t>
      </w:r>
      <w:r>
        <w:rPr>
          <w:rFonts w:hint="eastAsia" w:ascii="仿宋_GB2312" w:hAnsi="宋体" w:eastAsia="仿宋_GB2312"/>
          <w:i w:val="0"/>
          <w:sz w:val="32"/>
          <w:szCs w:val="32"/>
          <w:lang w:val="en-US" w:eastAsia="zh-CN"/>
        </w:rPr>
        <w:t>要求</w:t>
      </w:r>
      <w:r>
        <w:rPr>
          <w:rFonts w:hint="eastAsia" w:ascii="仿宋_GB2312" w:hAnsi="宋体" w:eastAsia="仿宋_GB2312"/>
          <w:i w:val="0"/>
          <w:sz w:val="32"/>
          <w:szCs w:val="32"/>
        </w:rPr>
        <w:t>准备相关资料</w:t>
      </w:r>
      <w:r>
        <w:rPr>
          <w:rFonts w:hint="eastAsia" w:ascii="仿宋_GB2312" w:hAnsi="宋体" w:eastAsia="仿宋_GB2312"/>
          <w:i w:val="0"/>
          <w:sz w:val="32"/>
          <w:szCs w:val="32"/>
          <w:lang w:eastAsia="zh-CN"/>
        </w:rPr>
        <w:t>。</w:t>
      </w:r>
    </w:p>
    <w:p>
      <w:pPr>
        <w:adjustRightInd w:val="0"/>
        <w:snapToGrid w:val="0"/>
        <w:spacing w:line="600" w:lineRule="exact"/>
        <w:ind w:firstLine="640" w:firstLineChars="200"/>
        <w:rPr>
          <w:rFonts w:ascii="仿宋_GB2312" w:hAnsi="宋体" w:eastAsia="仿宋_GB2312"/>
          <w:color w:val="000000"/>
          <w:sz w:val="32"/>
          <w:szCs w:val="32"/>
        </w:rPr>
      </w:pPr>
      <w:r>
        <w:rPr>
          <w:rFonts w:hint="default" w:ascii="仿宋_GB2312" w:hAnsi="宋体" w:eastAsia="仿宋_GB2312"/>
          <w:color w:val="000000"/>
          <w:sz w:val="32"/>
          <w:szCs w:val="32"/>
        </w:rPr>
        <w:t>3.产品配方一式一份</w:t>
      </w:r>
    </w:p>
    <w:p>
      <w:pPr>
        <w:adjustRightInd w:val="0"/>
        <w:snapToGrid w:val="0"/>
        <w:spacing w:line="600" w:lineRule="exact"/>
        <w:ind w:firstLine="640" w:firstLineChars="200"/>
        <w:rPr>
          <w:rFonts w:hint="default" w:ascii="仿宋_GB2312" w:hAnsi="宋体" w:eastAsia="仿宋_GB2312" w:cstheme="minorBidi"/>
          <w:sz w:val="32"/>
          <w:szCs w:val="32"/>
          <w:lang w:val="en-US" w:eastAsia="zh-CN"/>
        </w:rPr>
      </w:pPr>
      <w:r>
        <w:rPr>
          <w:rFonts w:hint="default" w:ascii="仿宋_GB2312" w:hAnsi="宋体" w:eastAsia="仿宋_GB2312"/>
          <w:color w:val="auto"/>
          <w:sz w:val="32"/>
          <w:szCs w:val="32"/>
          <w:lang w:eastAsia="zh-CN"/>
        </w:rPr>
        <w:t>（</w:t>
      </w:r>
      <w:r>
        <w:rPr>
          <w:rFonts w:hint="default" w:ascii="仿宋_GB2312" w:hAnsi="宋体" w:eastAsia="仿宋_GB2312"/>
          <w:color w:val="auto"/>
          <w:sz w:val="32"/>
          <w:szCs w:val="32"/>
          <w:lang w:val="en-US" w:eastAsia="zh-CN"/>
        </w:rPr>
        <w:t>1</w:t>
      </w:r>
      <w:r>
        <w:rPr>
          <w:rFonts w:hint="default" w:ascii="仿宋_GB2312" w:hAnsi="宋体" w:eastAsia="仿宋_GB2312"/>
          <w:color w:val="auto"/>
          <w:sz w:val="32"/>
          <w:szCs w:val="32"/>
          <w:lang w:eastAsia="zh-CN"/>
        </w:rPr>
        <w:t>）</w:t>
      </w:r>
      <w:r>
        <w:rPr>
          <w:rFonts w:ascii="仿宋_GB2312" w:hAnsi="宋体" w:eastAsia="仿宋_GB2312" w:cstheme="minorBidi"/>
          <w:color w:val="auto"/>
          <w:sz w:val="32"/>
          <w:szCs w:val="32"/>
        </w:rPr>
        <w:t>配方表</w:t>
      </w:r>
      <w:r>
        <w:rPr>
          <w:rFonts w:hint="default" w:ascii="仿宋_GB2312" w:hAnsi="宋体" w:eastAsia="仿宋_GB2312" w:cstheme="minorBidi"/>
          <w:color w:val="auto"/>
          <w:sz w:val="32"/>
          <w:szCs w:val="32"/>
          <w:lang w:val="en-US" w:eastAsia="zh-CN"/>
        </w:rPr>
        <w:t>式样</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1"/>
        <w:gridCol w:w="1255"/>
        <w:gridCol w:w="1256"/>
        <w:gridCol w:w="1200"/>
        <w:gridCol w:w="1111"/>
        <w:gridCol w:w="1244"/>
        <w:gridCol w:w="778"/>
        <w:gridCol w:w="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751"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序号</w:t>
            </w:r>
          </w:p>
        </w:tc>
        <w:tc>
          <w:tcPr>
            <w:tcW w:w="1255"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标准中文名称</w:t>
            </w:r>
          </w:p>
        </w:tc>
        <w:tc>
          <w:tcPr>
            <w:tcW w:w="1256"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INCI名称/英文名称</w:t>
            </w:r>
          </w:p>
        </w:tc>
        <w:tc>
          <w:tcPr>
            <w:tcW w:w="1200"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原料含量</w:t>
            </w:r>
            <w:r>
              <w:rPr>
                <w:rFonts w:hint="eastAsia" w:ascii="Calibri" w:hAnsi="Calibri" w:eastAsia="仿宋_GB2312" w:cs="Times New Roman"/>
                <w:bCs/>
                <w:color w:val="000000"/>
                <w:kern w:val="0"/>
                <w:sz w:val="24"/>
                <w:lang w:eastAsia="zh-CN"/>
              </w:rPr>
              <w:t>（</w:t>
            </w:r>
            <w:r>
              <w:rPr>
                <w:rFonts w:ascii="Calibri" w:hAnsi="Calibri" w:eastAsia="仿宋_GB2312" w:cs="Times New Roman"/>
                <w:bCs/>
                <w:color w:val="000000"/>
                <w:kern w:val="0"/>
                <w:sz w:val="24"/>
              </w:rPr>
              <w:t>%）</w:t>
            </w:r>
          </w:p>
        </w:tc>
        <w:tc>
          <w:tcPr>
            <w:tcW w:w="1111"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复配百分比（%）</w:t>
            </w:r>
          </w:p>
        </w:tc>
        <w:tc>
          <w:tcPr>
            <w:tcW w:w="1244"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实际成分含量（%）</w:t>
            </w:r>
          </w:p>
        </w:tc>
        <w:tc>
          <w:tcPr>
            <w:tcW w:w="778"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使用目的</w:t>
            </w:r>
          </w:p>
        </w:tc>
        <w:tc>
          <w:tcPr>
            <w:tcW w:w="927" w:type="dxa"/>
            <w:vAlign w:val="center"/>
          </w:tcPr>
          <w:p>
            <w:pPr>
              <w:widowControl/>
              <w:jc w:val="center"/>
              <w:rPr>
                <w:rFonts w:hint="default" w:ascii="仿宋_GB2312" w:hAnsi="宋体" w:eastAsia="仿宋_GB2312" w:cstheme="minorBidi"/>
                <w:sz w:val="32"/>
                <w:szCs w:val="32"/>
                <w:vertAlign w:val="baseline"/>
                <w:lang w:val="en-US" w:eastAsia="zh-CN"/>
              </w:rPr>
            </w:pPr>
            <w:r>
              <w:rPr>
                <w:rFonts w:ascii="Calibri" w:hAnsi="Calibri" w:eastAsia="仿宋_GB2312" w:cs="Times New Roman"/>
                <w:bCs/>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55"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56"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00"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111"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44"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778"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927"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55"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56"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00"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111"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1244"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778"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c>
          <w:tcPr>
            <w:tcW w:w="927" w:type="dxa"/>
            <w:vAlign w:val="center"/>
          </w:tcPr>
          <w:p>
            <w:pPr>
              <w:adjustRightInd w:val="0"/>
              <w:snapToGrid w:val="0"/>
              <w:spacing w:line="240" w:lineRule="atLeast"/>
              <w:rPr>
                <w:rFonts w:hint="default" w:ascii="仿宋_GB2312" w:hAnsi="宋体" w:eastAsia="仿宋_GB2312" w:cstheme="minorBidi"/>
                <w:sz w:val="32"/>
                <w:szCs w:val="32"/>
                <w:vertAlign w:val="baseline"/>
                <w:lang w:val="en-US" w:eastAsia="zh-CN"/>
              </w:rPr>
            </w:pPr>
          </w:p>
        </w:tc>
      </w:tr>
    </w:tbl>
    <w:p>
      <w:pPr>
        <w:numPr>
          <w:ilvl w:val="0"/>
          <w:numId w:val="1"/>
        </w:numPr>
        <w:adjustRightInd w:val="0"/>
        <w:snapToGrid w:val="0"/>
        <w:spacing w:line="600" w:lineRule="exact"/>
        <w:ind w:firstLine="640" w:firstLineChars="200"/>
        <w:rPr>
          <w:rFonts w:ascii="仿宋_GB2312" w:hAnsi="宋体" w:eastAsia="仿宋_GB2312" w:cstheme="minorBidi"/>
          <w:sz w:val="32"/>
          <w:szCs w:val="32"/>
        </w:rPr>
      </w:pPr>
      <w:r>
        <w:rPr>
          <w:rFonts w:ascii="仿宋_GB2312" w:hAnsi="宋体" w:eastAsia="仿宋_GB2312" w:cstheme="minorBidi"/>
          <w:color w:val="auto"/>
          <w:sz w:val="32"/>
          <w:szCs w:val="32"/>
        </w:rPr>
        <w:t>配方表附件式样</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4"/>
        <w:gridCol w:w="2411"/>
        <w:gridCol w:w="2333"/>
        <w:gridCol w:w="2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4" w:type="dxa"/>
            <w:vAlign w:val="center"/>
          </w:tcPr>
          <w:p>
            <w:pPr>
              <w:widowControl/>
              <w:jc w:val="center"/>
              <w:rPr>
                <w:rFonts w:ascii="仿宋_GB2312" w:hAnsi="宋体" w:eastAsia="仿宋_GB2312" w:cstheme="minorBidi"/>
                <w:sz w:val="32"/>
                <w:szCs w:val="32"/>
                <w:vertAlign w:val="baseline"/>
              </w:rPr>
            </w:pPr>
            <w:r>
              <w:rPr>
                <w:rFonts w:hint="eastAsia" w:ascii="仿宋_GB2312" w:hAnsi="Calibri" w:eastAsia="仿宋_GB2312" w:cs="Times New Roman"/>
                <w:bCs/>
                <w:color w:val="000000"/>
                <w:kern w:val="0"/>
                <w:sz w:val="24"/>
              </w:rPr>
              <w:t>序号</w:t>
            </w:r>
          </w:p>
        </w:tc>
        <w:tc>
          <w:tcPr>
            <w:tcW w:w="2411" w:type="dxa"/>
            <w:vAlign w:val="center"/>
          </w:tcPr>
          <w:p>
            <w:pPr>
              <w:widowControl/>
              <w:jc w:val="center"/>
              <w:rPr>
                <w:rFonts w:ascii="仿宋_GB2312" w:hAnsi="宋体" w:eastAsia="仿宋_GB2312" w:cstheme="minorBidi"/>
                <w:sz w:val="32"/>
                <w:szCs w:val="32"/>
                <w:vertAlign w:val="baseline"/>
              </w:rPr>
            </w:pPr>
            <w:r>
              <w:rPr>
                <w:rFonts w:hint="eastAsia" w:ascii="仿宋_GB2312" w:hAnsi="Calibri" w:eastAsia="仿宋_GB2312" w:cs="Times New Roman"/>
                <w:bCs/>
                <w:color w:val="000000"/>
                <w:kern w:val="0"/>
                <w:sz w:val="24"/>
              </w:rPr>
              <w:t>标准中文名称</w:t>
            </w:r>
          </w:p>
        </w:tc>
        <w:tc>
          <w:tcPr>
            <w:tcW w:w="2333" w:type="dxa"/>
            <w:vAlign w:val="center"/>
          </w:tcPr>
          <w:p>
            <w:pPr>
              <w:widowControl/>
              <w:jc w:val="center"/>
              <w:rPr>
                <w:rFonts w:ascii="仿宋_GB2312" w:hAnsi="宋体" w:eastAsia="仿宋_GB2312" w:cstheme="minorBidi"/>
                <w:sz w:val="32"/>
                <w:szCs w:val="32"/>
                <w:vertAlign w:val="baseline"/>
              </w:rPr>
            </w:pPr>
            <w:r>
              <w:rPr>
                <w:rFonts w:hint="eastAsia" w:ascii="仿宋_GB2312" w:hAnsi="Calibri" w:eastAsia="仿宋_GB2312" w:cs="Times New Roman"/>
                <w:bCs/>
                <w:color w:val="000000"/>
                <w:kern w:val="0"/>
                <w:sz w:val="24"/>
              </w:rPr>
              <w:t>生产商</w:t>
            </w:r>
          </w:p>
        </w:tc>
        <w:tc>
          <w:tcPr>
            <w:tcW w:w="2994" w:type="dxa"/>
            <w:vAlign w:val="center"/>
          </w:tcPr>
          <w:p>
            <w:pPr>
              <w:widowControl/>
              <w:jc w:val="center"/>
              <w:rPr>
                <w:rFonts w:ascii="仿宋_GB2312" w:hAnsi="宋体" w:eastAsia="仿宋_GB2312" w:cstheme="minorBidi"/>
                <w:sz w:val="32"/>
                <w:szCs w:val="32"/>
                <w:vertAlign w:val="baseline"/>
              </w:rPr>
            </w:pPr>
            <w:r>
              <w:rPr>
                <w:rFonts w:hint="eastAsia" w:ascii="仿宋_GB2312" w:hAnsi="Calibri" w:eastAsia="仿宋_GB2312" w:cs="Times New Roman"/>
                <w:bCs/>
                <w:color w:val="000000"/>
                <w:kern w:val="0"/>
                <w:sz w:val="24"/>
              </w:rPr>
              <w:t>原料报送码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tcPr>
          <w:p>
            <w:pPr>
              <w:numPr>
                <w:ilvl w:val="-1"/>
                <w:numId w:val="0"/>
              </w:numPr>
              <w:adjustRightInd w:val="0"/>
              <w:snapToGrid w:val="0"/>
              <w:spacing w:line="240" w:lineRule="atLeast"/>
              <w:jc w:val="center"/>
              <w:rPr>
                <w:rFonts w:ascii="仿宋_GB2312" w:hAnsi="宋体" w:eastAsia="仿宋_GB2312" w:cstheme="minorBidi"/>
                <w:sz w:val="32"/>
                <w:szCs w:val="32"/>
                <w:vertAlign w:val="baseline"/>
              </w:rPr>
            </w:pPr>
          </w:p>
        </w:tc>
        <w:tc>
          <w:tcPr>
            <w:tcW w:w="2411" w:type="dxa"/>
          </w:tcPr>
          <w:p>
            <w:pPr>
              <w:numPr>
                <w:ilvl w:val="-1"/>
                <w:numId w:val="0"/>
              </w:numPr>
              <w:adjustRightInd w:val="0"/>
              <w:snapToGrid w:val="0"/>
              <w:spacing w:line="240" w:lineRule="atLeast"/>
              <w:jc w:val="center"/>
              <w:rPr>
                <w:rFonts w:ascii="仿宋_GB2312" w:hAnsi="宋体" w:eastAsia="仿宋_GB2312" w:cstheme="minorBidi"/>
                <w:sz w:val="32"/>
                <w:szCs w:val="32"/>
                <w:vertAlign w:val="baseline"/>
              </w:rPr>
            </w:pPr>
          </w:p>
        </w:tc>
        <w:tc>
          <w:tcPr>
            <w:tcW w:w="2333" w:type="dxa"/>
          </w:tcPr>
          <w:p>
            <w:pPr>
              <w:numPr>
                <w:ilvl w:val="-1"/>
                <w:numId w:val="0"/>
              </w:numPr>
              <w:adjustRightInd w:val="0"/>
              <w:snapToGrid w:val="0"/>
              <w:spacing w:line="240" w:lineRule="atLeast"/>
              <w:jc w:val="center"/>
              <w:rPr>
                <w:rFonts w:ascii="仿宋_GB2312" w:hAnsi="宋体" w:eastAsia="仿宋_GB2312" w:cstheme="minorBidi"/>
                <w:sz w:val="32"/>
                <w:szCs w:val="32"/>
                <w:vertAlign w:val="baseline"/>
              </w:rPr>
            </w:pPr>
          </w:p>
        </w:tc>
        <w:tc>
          <w:tcPr>
            <w:tcW w:w="2994" w:type="dxa"/>
          </w:tcPr>
          <w:p>
            <w:pPr>
              <w:numPr>
                <w:ilvl w:val="-1"/>
                <w:numId w:val="0"/>
              </w:numPr>
              <w:adjustRightInd w:val="0"/>
              <w:snapToGrid w:val="0"/>
              <w:spacing w:line="240" w:lineRule="atLeast"/>
              <w:jc w:val="center"/>
              <w:rPr>
                <w:rFonts w:ascii="仿宋_GB2312" w:hAnsi="宋体" w:eastAsia="仿宋_GB2312" w:cstheme="minorBidi"/>
                <w:sz w:val="32"/>
                <w:szCs w:val="32"/>
                <w:vertAlign w:val="baseline"/>
              </w:rPr>
            </w:pPr>
          </w:p>
        </w:tc>
      </w:tr>
    </w:tbl>
    <w:p>
      <w:pPr>
        <w:pStyle w:val="13"/>
        <w:adjustRightInd w:val="0"/>
        <w:snapToGrid w:val="0"/>
        <w:spacing w:line="560" w:lineRule="exact"/>
        <w:ind w:firstLine="560" w:firstLineChars="200"/>
        <w:rPr>
          <w:rFonts w:ascii="仿宋_GB2312" w:hAnsi="宋体" w:eastAsia="仿宋_GB2312"/>
          <w:color w:val="000000"/>
          <w:sz w:val="32"/>
          <w:szCs w:val="32"/>
        </w:rPr>
      </w:pPr>
      <w:r>
        <w:rPr>
          <w:rFonts w:hint="eastAsia" w:ascii="仿宋_GB2312" w:hAnsi="Times New Roman" w:eastAsia="仿宋_GB2312" w:cs="Times New Roman"/>
          <w:color w:val="000000"/>
          <w:sz w:val="28"/>
          <w:szCs w:val="24"/>
        </w:rPr>
        <w:t>填报说明：配方表中成分含量、实际成分含量的有效数字位数原则上不少于一位有效数字不超过五位有效数字。</w:t>
      </w:r>
    </w:p>
    <w:p>
      <w:pPr>
        <w:pStyle w:val="4"/>
        <w:spacing w:before="0" w:beforeAutospacing="0" w:after="0" w:afterAutospacing="0" w:line="480" w:lineRule="auto"/>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4.产品中文说明书一式一份（加盖申请单位公章，单成份化妆品原料可不提供，另提供原料进购单）；属于进口产品应提供说明书外文原版和中文译文，及符合相关法规要求的产品中文标签。</w:t>
      </w:r>
    </w:p>
    <w:p>
      <w:pPr>
        <w:pStyle w:val="4"/>
        <w:spacing w:before="0" w:beforeAutospacing="0" w:after="0" w:afterAutospacing="0" w:line="480" w:lineRule="auto"/>
        <w:ind w:firstLine="640" w:firstLineChars="200"/>
        <w:jc w:val="both"/>
        <w:rPr>
          <w:rFonts w:ascii="仿宋_GB2312" w:eastAsia="仿宋_GB2312"/>
          <w:color w:val="000000"/>
          <w:sz w:val="32"/>
          <w:szCs w:val="32"/>
        </w:rPr>
      </w:pPr>
      <w:r>
        <w:rPr>
          <w:rFonts w:hint="eastAsia" w:ascii="仿宋_GB2312" w:eastAsia="仿宋_GB2312"/>
          <w:color w:val="000000"/>
          <w:sz w:val="32"/>
          <w:szCs w:val="32"/>
          <w:lang w:val="en-US" w:eastAsia="zh-CN"/>
        </w:rPr>
        <w:t>5</w:t>
      </w:r>
      <w:r>
        <w:rPr>
          <w:rFonts w:hint="eastAsia" w:ascii="仿宋_GB2312" w:eastAsia="仿宋_GB2312"/>
          <w:color w:val="000000"/>
          <w:sz w:val="32"/>
          <w:szCs w:val="32"/>
        </w:rPr>
        <w:t>.生产工艺、产品标准以及与送检样品同批号的出厂报告书（必要时）一式一份。</w:t>
      </w:r>
    </w:p>
    <w:p>
      <w:pPr>
        <w:pStyle w:val="4"/>
        <w:spacing w:before="0" w:beforeAutospacing="0" w:after="0" w:afterAutospacing="0" w:line="480" w:lineRule="auto"/>
        <w:ind w:firstLine="640" w:firstLineChars="200"/>
        <w:jc w:val="both"/>
        <w:rPr>
          <w:rFonts w:ascii="仿宋_GB2312" w:eastAsia="仿宋_GB2312"/>
          <w:color w:val="000000"/>
          <w:sz w:val="32"/>
          <w:szCs w:val="32"/>
        </w:rPr>
      </w:pP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.可能存在安全性风险物质的有关安全性评估材料纸质资料（必要时）一式一份。</w:t>
      </w:r>
    </w:p>
    <w:p>
      <w:pPr>
        <w:pStyle w:val="4"/>
        <w:spacing w:before="0" w:beforeAutospacing="0" w:after="0" w:afterAutospacing="0" w:line="480" w:lineRule="auto"/>
        <w:ind w:firstLine="640" w:firstLineChars="200"/>
        <w:jc w:val="both"/>
        <w:rPr>
          <w:rFonts w:ascii="仿宋_GB2312" w:eastAsia="仿宋_GB2312"/>
          <w:color w:val="000000"/>
          <w:sz w:val="32"/>
          <w:szCs w:val="32"/>
        </w:rPr>
      </w:pP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.其它有助于检验的资料。</w:t>
      </w:r>
    </w:p>
    <w:p>
      <w:pPr>
        <w:pStyle w:val="4"/>
        <w:spacing w:before="0" w:beforeAutospacing="0" w:after="0" w:afterAutospacing="0" w:line="480" w:lineRule="auto"/>
        <w:ind w:firstLine="640" w:firstLineChars="200"/>
        <w:jc w:val="both"/>
        <w:rPr>
          <w:rFonts w:ascii="仿宋_GB2312" w:eastAsia="仿宋_GB2312"/>
          <w:color w:val="000000"/>
          <w:sz w:val="32"/>
          <w:szCs w:val="32"/>
        </w:rPr>
      </w:pPr>
      <w:r>
        <w:rPr>
          <w:rFonts w:hint="eastAsia" w:ascii="楷体" w:hAnsi="楷体" w:eastAsia="楷体" w:cs="楷体"/>
          <w:bCs/>
          <w:color w:val="000000"/>
          <w:sz w:val="32"/>
          <w:szCs w:val="32"/>
        </w:rPr>
        <w:t>（二）样品要求</w:t>
      </w:r>
    </w:p>
    <w:p>
      <w:pPr>
        <w:pStyle w:val="4"/>
        <w:spacing w:before="0" w:beforeAutospacing="0" w:after="0" w:afterAutospacing="0" w:line="480" w:lineRule="auto"/>
        <w:ind w:firstLine="640" w:firstLineChars="200"/>
        <w:jc w:val="both"/>
        <w:rPr>
          <w:rFonts w:ascii="仿宋_GB2312" w:eastAsia="仿宋_GB2312"/>
          <w:color w:val="000000"/>
          <w:sz w:val="32"/>
          <w:szCs w:val="32"/>
        </w:rPr>
      </w:pPr>
      <w:r>
        <w:rPr>
          <w:rFonts w:hint="eastAsia" w:ascii="仿宋_GB2312" w:eastAsia="仿宋_GB2312"/>
          <w:color w:val="000000"/>
          <w:sz w:val="32"/>
          <w:szCs w:val="32"/>
        </w:rPr>
        <w:t>样品应足量、包装完整、同一名称、同一生产日期/批号。进口产品要加贴中文标签；代包装样品的外包装上应包含“样品名称、规格、批号或生产日期、生产企业”等信息，送检样品标签等信息需与化妆品检验</w:t>
      </w:r>
      <w:r>
        <w:rPr>
          <w:rFonts w:hint="eastAsia" w:ascii="仿宋_GB2312" w:eastAsia="仿宋_GB2312"/>
          <w:color w:val="000000"/>
          <w:sz w:val="32"/>
          <w:szCs w:val="32"/>
          <w:lang w:val="en-US" w:eastAsia="zh-CN"/>
        </w:rPr>
        <w:t>协议</w:t>
      </w:r>
      <w:r>
        <w:rPr>
          <w:rFonts w:hint="eastAsia" w:ascii="仿宋_GB2312" w:eastAsia="仿宋_GB2312"/>
          <w:color w:val="000000"/>
          <w:sz w:val="32"/>
          <w:szCs w:val="32"/>
        </w:rPr>
        <w:t>书信息一致，否则不予受理。</w:t>
      </w:r>
    </w:p>
    <w:p>
      <w:pPr>
        <w:pStyle w:val="4"/>
        <w:spacing w:before="0" w:beforeAutospacing="0" w:after="0" w:afterAutospacing="0" w:line="480" w:lineRule="auto"/>
        <w:ind w:firstLine="640" w:firstLineChars="200"/>
        <w:jc w:val="both"/>
        <w:rPr>
          <w:rFonts w:ascii="黑体" w:eastAsia="黑体"/>
          <w:color w:val="000000"/>
          <w:sz w:val="32"/>
          <w:szCs w:val="32"/>
        </w:rPr>
      </w:pPr>
      <w:r>
        <w:rPr>
          <w:rFonts w:hint="eastAsia" w:ascii="黑体" w:eastAsia="黑体"/>
          <w:color w:val="000000"/>
          <w:sz w:val="32"/>
          <w:szCs w:val="32"/>
        </w:rPr>
        <w:t>三、检验收费</w:t>
      </w:r>
    </w:p>
    <w:p>
      <w:pPr>
        <w:pStyle w:val="4"/>
        <w:pBdr>
          <w:top w:val="none" w:color="auto" w:sz="0" w:space="0"/>
          <w:left w:val="none" w:color="auto" w:sz="0" w:space="0"/>
          <w:bottom w:val="none" w:color="auto" w:sz="0" w:space="0"/>
          <w:right w:val="none" w:color="auto" w:sz="0" w:space="0"/>
        </w:pBdr>
        <w:shd w:val="clear" w:color="auto" w:fill="auto"/>
        <w:spacing w:before="0" w:beforeAutospacing="0" w:after="0" w:afterAutospacing="0" w:line="480" w:lineRule="auto"/>
        <w:ind w:firstLine="640" w:firstLineChars="200"/>
        <w:jc w:val="both"/>
        <w:rPr>
          <w:rFonts w:hint="eastAsia" w:ascii="仿宋_GB2312" w:eastAsia="仿宋_GB2312"/>
          <w:color w:val="000000"/>
          <w:sz w:val="32"/>
          <w:szCs w:val="32"/>
        </w:rPr>
      </w:pPr>
      <w:r>
        <w:rPr>
          <w:rFonts w:hint="eastAsia" w:ascii="仿宋_GB2312" w:eastAsia="仿宋_GB2312"/>
          <w:color w:val="000000"/>
          <w:sz w:val="32"/>
          <w:szCs w:val="32"/>
        </w:rPr>
        <w:t>采用协议收费方式，</w:t>
      </w:r>
      <w:r>
        <w:rPr>
          <w:rFonts w:hint="eastAsia" w:ascii="仿宋_GB2312" w:eastAsia="仿宋_GB2312"/>
          <w:color w:val="000000"/>
          <w:sz w:val="32"/>
          <w:szCs w:val="32"/>
          <w:lang w:val="en-US" w:eastAsia="zh-CN"/>
        </w:rPr>
        <w:t>委托方</w:t>
      </w:r>
      <w:r>
        <w:rPr>
          <w:rFonts w:hint="eastAsia" w:ascii="仿宋_GB2312" w:eastAsia="仿宋_GB2312"/>
          <w:color w:val="000000"/>
          <w:sz w:val="32"/>
          <w:szCs w:val="32"/>
        </w:rPr>
        <w:t>按照签订的协议书及我所开出的非税收入缴款通知书进行缴纳相关费用。缴纳方式及电子票据领取事项详见“缴款通知书转账须知”。</w:t>
      </w:r>
      <w:r>
        <w:rPr>
          <w:rFonts w:hint="eastAsia" w:ascii="仿宋_GB2312" w:eastAsia="仿宋_GB2312"/>
          <w:color w:val="000000"/>
          <w:sz w:val="32"/>
          <w:szCs w:val="32"/>
          <w:shd w:val="clear" w:color="auto" w:fill="auto"/>
        </w:rPr>
        <w:t>经</w:t>
      </w:r>
      <w:r>
        <w:rPr>
          <w:rFonts w:hint="eastAsia" w:ascii="仿宋_GB2312" w:eastAsia="仿宋_GB2312"/>
          <w:color w:val="000000"/>
          <w:sz w:val="32"/>
          <w:szCs w:val="32"/>
        </w:rPr>
        <w:t>我所核实并确认已经缴款的两个工作日内正式受理检验。</w:t>
      </w:r>
    </w:p>
    <w:p>
      <w:pPr>
        <w:pStyle w:val="4"/>
        <w:numPr>
          <w:ilvl w:val="0"/>
          <w:numId w:val="2"/>
        </w:numPr>
        <w:pBdr>
          <w:top w:val="none" w:color="auto" w:sz="0" w:space="0"/>
          <w:left w:val="none" w:color="auto" w:sz="0" w:space="0"/>
          <w:bottom w:val="none" w:color="auto" w:sz="0" w:space="0"/>
          <w:right w:val="none" w:color="auto" w:sz="0" w:space="0"/>
        </w:pBdr>
        <w:shd w:val="clear" w:color="auto" w:fill="auto"/>
        <w:spacing w:before="0" w:beforeAutospacing="0" w:after="0" w:afterAutospacing="0" w:line="480" w:lineRule="auto"/>
        <w:ind w:firstLine="640" w:firstLineChars="200"/>
        <w:jc w:val="both"/>
        <w:rPr>
          <w:rFonts w:ascii="黑体" w:hAnsi="黑体" w:eastAsia="黑体"/>
          <w:b w:val="0"/>
          <w:bCs/>
          <w:sz w:val="32"/>
          <w:szCs w:val="32"/>
        </w:rPr>
      </w:pPr>
      <w:r>
        <w:rPr>
          <w:rFonts w:ascii="黑体" w:hAnsi="黑体" w:eastAsia="黑体"/>
          <w:b w:val="0"/>
          <w:bCs/>
          <w:sz w:val="32"/>
          <w:szCs w:val="32"/>
        </w:rPr>
        <w:t>报告书领取方式</w:t>
      </w:r>
    </w:p>
    <w:p>
      <w:pPr>
        <w:spacing w:line="600" w:lineRule="exact"/>
        <w:ind w:left="0" w:leftChars="0" w:firstLine="640" w:firstLineChars="200"/>
        <w:jc w:val="both"/>
        <w:rPr>
          <w:rFonts w:ascii="仿宋_GB2312" w:hAnsi="宋体" w:eastAsia="仿宋_GB2312"/>
          <w:sz w:val="32"/>
          <w:szCs w:val="32"/>
        </w:rPr>
      </w:pPr>
      <w:r>
        <w:rPr>
          <w:rFonts w:hint="eastAsia" w:ascii="仿宋_GB2312" w:hAnsi="宋体" w:eastAsia="仿宋_GB2312"/>
          <w:b w:val="0"/>
          <w:sz w:val="32"/>
          <w:szCs w:val="32"/>
          <w:lang w:val="en-US" w:eastAsia="zh-CN"/>
        </w:rPr>
        <w:t>委托方</w:t>
      </w:r>
      <w:r>
        <w:rPr>
          <w:rFonts w:ascii="仿宋_GB2312" w:hAnsi="宋体" w:eastAsia="仿宋_GB2312"/>
          <w:b w:val="0"/>
          <w:sz w:val="32"/>
          <w:szCs w:val="32"/>
        </w:rPr>
        <w:t>缴纳我所开具</w:t>
      </w:r>
      <w:r>
        <w:rPr>
          <w:rFonts w:hint="eastAsia" w:ascii="仿宋_GB2312" w:hAnsi="宋体" w:eastAsia="仿宋_GB2312"/>
          <w:b w:val="0"/>
          <w:sz w:val="32"/>
          <w:szCs w:val="32"/>
          <w:lang w:val="en-US" w:eastAsia="zh-CN"/>
        </w:rPr>
        <w:t>的</w:t>
      </w:r>
      <w:r>
        <w:rPr>
          <w:rFonts w:ascii="仿宋_GB2312" w:hAnsi="宋体" w:eastAsia="仿宋_GB2312"/>
          <w:b w:val="0"/>
          <w:sz w:val="32"/>
          <w:szCs w:val="32"/>
        </w:rPr>
        <w:t>《广东省省级非税收入缴款通知书》的费用后</w:t>
      </w:r>
      <w:r>
        <w:rPr>
          <w:rFonts w:hint="eastAsia" w:ascii="仿宋_GB2312" w:hAnsi="宋体" w:eastAsia="仿宋_GB2312"/>
          <w:b w:val="0"/>
          <w:sz w:val="32"/>
          <w:szCs w:val="32"/>
          <w:lang w:eastAsia="zh-CN"/>
        </w:rPr>
        <w:t>，</w:t>
      </w:r>
      <w:r>
        <w:rPr>
          <w:rFonts w:hint="eastAsia" w:ascii="仿宋_GB2312" w:hAnsi="宋体" w:eastAsia="仿宋_GB2312"/>
          <w:b w:val="0"/>
          <w:sz w:val="32"/>
          <w:szCs w:val="32"/>
          <w:lang w:val="en-US" w:eastAsia="zh-CN"/>
        </w:rPr>
        <w:t>由系统推送电子报告书，委托方自行下载。</w:t>
      </w:r>
    </w:p>
    <w:p>
      <w:pPr>
        <w:pStyle w:val="4"/>
        <w:numPr>
          <w:ilvl w:val="0"/>
          <w:numId w:val="2"/>
        </w:numPr>
        <w:pBdr>
          <w:top w:val="none" w:color="auto" w:sz="0" w:space="0"/>
          <w:left w:val="none" w:color="auto" w:sz="0" w:space="0"/>
          <w:bottom w:val="none" w:color="auto" w:sz="0" w:space="0"/>
          <w:right w:val="none" w:color="auto" w:sz="0" w:space="0"/>
        </w:pBdr>
        <w:shd w:val="clear" w:color="auto" w:fill="auto"/>
        <w:spacing w:before="0" w:beforeAutospacing="0" w:after="0" w:afterAutospacing="0" w:line="480" w:lineRule="auto"/>
        <w:ind w:firstLine="640" w:firstLineChars="200"/>
        <w:jc w:val="both"/>
        <w:rPr>
          <w:rFonts w:ascii="黑体" w:hAnsi="黑体" w:eastAsia="黑体"/>
          <w:b w:val="0"/>
          <w:bCs/>
          <w:sz w:val="32"/>
          <w:szCs w:val="32"/>
        </w:rPr>
      </w:pPr>
      <w:r>
        <w:rPr>
          <w:rFonts w:hint="eastAsia" w:ascii="黑体" w:hAnsi="黑体" w:eastAsia="黑体"/>
          <w:b w:val="0"/>
          <w:bCs/>
          <w:sz w:val="32"/>
          <w:szCs w:val="32"/>
          <w:lang w:val="en-US" w:eastAsia="zh-CN"/>
        </w:rPr>
        <w:t>其他</w:t>
      </w:r>
    </w:p>
    <w:p>
      <w:pPr>
        <w:spacing w:line="480" w:lineRule="auto"/>
        <w:ind w:firstLine="640" w:firstLineChars="200"/>
        <w:rPr>
          <w:rFonts w:ascii="仿宋_GB2312" w:eastAsia="仿宋_GB2312" w:cs="Arial"/>
          <w:bCs/>
          <w:color w:val="000000"/>
          <w:sz w:val="32"/>
          <w:szCs w:val="32"/>
        </w:rPr>
      </w:pPr>
      <w:r>
        <w:rPr>
          <w:rFonts w:hint="eastAsia" w:ascii="仿宋_GB2312" w:eastAsia="仿宋_GB2312" w:cs="Arial"/>
          <w:bCs/>
          <w:color w:val="000000"/>
          <w:sz w:val="32"/>
          <w:szCs w:val="32"/>
        </w:rPr>
        <w:t>受理部门：广东省药品检验所业务受理处</w:t>
      </w:r>
    </w:p>
    <w:p>
      <w:pPr>
        <w:spacing w:line="480" w:lineRule="auto"/>
        <w:ind w:firstLine="640" w:firstLineChars="200"/>
        <w:rPr>
          <w:rFonts w:hint="eastAsia" w:ascii="仿宋_GB2312" w:eastAsia="仿宋_GB2312" w:cs="Arial"/>
          <w:bCs/>
          <w:color w:val="000000"/>
          <w:sz w:val="32"/>
          <w:szCs w:val="32"/>
          <w:lang w:eastAsia="zh-CN"/>
        </w:rPr>
      </w:pPr>
      <w:r>
        <w:rPr>
          <w:rFonts w:hint="eastAsia" w:ascii="仿宋_GB2312" w:eastAsia="仿宋_GB2312" w:cs="Arial"/>
          <w:bCs/>
          <w:color w:val="000000"/>
          <w:sz w:val="32"/>
          <w:szCs w:val="32"/>
        </w:rPr>
        <w:t>办公时间：星期一至星期五 上午 8:30-12:00；下午13:00-16:30</w:t>
      </w:r>
      <w:r>
        <w:rPr>
          <w:rFonts w:ascii="仿宋_GB2312" w:hAnsi="宋体" w:eastAsia="仿宋_GB2312"/>
          <w:b w:val="0"/>
          <w:sz w:val="32"/>
          <w:szCs w:val="32"/>
        </w:rPr>
        <w:t>（逢周五下午1</w:t>
      </w:r>
      <w:r>
        <w:rPr>
          <w:rFonts w:hint="eastAsia" w:ascii="仿宋_GB2312" w:hAnsi="宋体" w:eastAsia="仿宋_GB2312"/>
          <w:b w:val="0"/>
          <w:sz w:val="32"/>
          <w:szCs w:val="32"/>
          <w:lang w:val="en-US" w:eastAsia="zh-CN"/>
        </w:rPr>
        <w:t>3</w:t>
      </w:r>
      <w:r>
        <w:rPr>
          <w:rFonts w:ascii="仿宋_GB2312" w:hAnsi="宋体" w:eastAsia="仿宋_GB2312"/>
          <w:b w:val="0"/>
          <w:sz w:val="32"/>
          <w:szCs w:val="32"/>
        </w:rPr>
        <w:t>:00～16:30整理资料，不对外办公）</w:t>
      </w:r>
      <w:r>
        <w:rPr>
          <w:rFonts w:hint="eastAsia" w:ascii="仿宋_GB2312" w:hAnsi="宋体" w:eastAsia="仿宋_GB2312"/>
          <w:b w:val="0"/>
          <w:sz w:val="32"/>
          <w:szCs w:val="32"/>
          <w:lang w:eastAsia="zh-CN"/>
        </w:rPr>
        <w:t>。</w:t>
      </w:r>
    </w:p>
    <w:p>
      <w:pPr>
        <w:spacing w:line="480" w:lineRule="auto"/>
        <w:ind w:firstLine="640" w:firstLineChars="200"/>
        <w:rPr>
          <w:rFonts w:ascii="仿宋_GB2312" w:eastAsia="仿宋_GB2312" w:cs="Arial"/>
          <w:bCs/>
          <w:color w:val="000000"/>
          <w:sz w:val="32"/>
          <w:szCs w:val="32"/>
        </w:rPr>
      </w:pPr>
      <w:r>
        <w:rPr>
          <w:rFonts w:hint="eastAsia" w:ascii="仿宋_GB2312" w:eastAsia="仿宋_GB2312" w:cs="Arial"/>
          <w:bCs/>
          <w:color w:val="000000"/>
          <w:sz w:val="32"/>
          <w:szCs w:val="32"/>
        </w:rPr>
        <w:t>电    话：</w:t>
      </w:r>
      <w:r>
        <w:rPr>
          <w:rFonts w:hint="eastAsia" w:ascii="仿宋_GB2312" w:hAnsi="宋体" w:eastAsia="仿宋_GB2312"/>
          <w:color w:val="000000"/>
          <w:sz w:val="32"/>
          <w:szCs w:val="32"/>
        </w:rPr>
        <w:t>020-81092740</w:t>
      </w:r>
    </w:p>
    <w:p>
      <w:pPr>
        <w:spacing w:line="480" w:lineRule="auto"/>
        <w:ind w:firstLine="640" w:firstLineChars="200"/>
        <w:rPr>
          <w:rFonts w:ascii="仿宋_GB2312" w:eastAsia="仿宋_GB2312" w:cs="Arial"/>
          <w:bCs/>
          <w:color w:val="000000"/>
          <w:sz w:val="32"/>
          <w:szCs w:val="32"/>
        </w:rPr>
      </w:pPr>
      <w:r>
        <w:rPr>
          <w:rFonts w:hint="eastAsia" w:ascii="仿宋_GB2312" w:eastAsia="仿宋_GB2312" w:cs="Arial"/>
          <w:bCs/>
          <w:color w:val="000000"/>
          <w:sz w:val="32"/>
          <w:szCs w:val="32"/>
        </w:rPr>
        <w:t>传    真：020-81885501</w:t>
      </w:r>
    </w:p>
    <w:p>
      <w:pPr>
        <w:spacing w:line="480" w:lineRule="auto"/>
        <w:ind w:firstLine="640" w:firstLineChars="200"/>
        <w:rPr>
          <w:rFonts w:ascii="仿宋_GB2312" w:eastAsia="仿宋_GB2312" w:cs="Arial"/>
          <w:bCs/>
          <w:color w:val="000000"/>
          <w:sz w:val="32"/>
          <w:szCs w:val="32"/>
        </w:rPr>
      </w:pPr>
      <w:r>
        <w:rPr>
          <w:rFonts w:hint="eastAsia" w:ascii="仿宋_GB2312" w:eastAsia="仿宋_GB2312" w:cs="Arial"/>
          <w:bCs/>
          <w:color w:val="000000"/>
          <w:sz w:val="32"/>
          <w:szCs w:val="32"/>
        </w:rPr>
        <w:t>地    址：广州市黄埔区神舟路766号</w:t>
      </w:r>
    </w:p>
    <w:p>
      <w:pPr>
        <w:spacing w:line="480" w:lineRule="auto"/>
        <w:ind w:firstLine="640" w:firstLineChars="200"/>
        <w:rPr>
          <w:rFonts w:ascii="仿宋_GB2312" w:eastAsia="仿宋_GB2312" w:cs="Arial"/>
          <w:bCs/>
          <w:color w:val="000000"/>
          <w:sz w:val="32"/>
          <w:szCs w:val="32"/>
        </w:rPr>
      </w:pPr>
      <w:r>
        <w:rPr>
          <w:rFonts w:hint="eastAsia" w:ascii="仿宋_GB2312" w:eastAsia="仿宋_GB2312" w:cs="Arial"/>
          <w:bCs/>
          <w:color w:val="000000"/>
          <w:sz w:val="32"/>
          <w:szCs w:val="32"/>
        </w:rPr>
        <w:t>邮    编：510663</w:t>
      </w:r>
    </w:p>
    <w:p>
      <w:pPr>
        <w:spacing w:line="480" w:lineRule="auto"/>
        <w:ind w:firstLine="640" w:firstLineChars="200"/>
        <w:rPr>
          <w:rFonts w:ascii="仿宋_GB2312" w:eastAsia="仿宋_GB2312" w:cs="Arial"/>
          <w:bCs/>
          <w:color w:val="000000"/>
          <w:sz w:val="32"/>
          <w:szCs w:val="32"/>
        </w:rPr>
      </w:pPr>
      <w:r>
        <w:rPr>
          <w:rFonts w:hint="eastAsia" w:ascii="仿宋_GB2312" w:eastAsia="仿宋_GB2312" w:cs="Arial"/>
          <w:bCs/>
          <w:color w:val="000000"/>
          <w:sz w:val="32"/>
          <w:szCs w:val="32"/>
        </w:rPr>
        <w:t>联系邮箱：</w:t>
      </w:r>
      <w:r>
        <w:rPr>
          <w:rStyle w:val="10"/>
          <w:rFonts w:hint="eastAsia" w:ascii="仿宋_GB2312" w:eastAsia="仿宋_GB2312" w:cs="Arial"/>
          <w:bCs/>
          <w:color w:val="000000"/>
          <w:sz w:val="32"/>
          <w:szCs w:val="32"/>
        </w:rPr>
        <w:t>gdidc_ywk@gd.gov.cn</w:t>
      </w:r>
    </w:p>
    <w:p>
      <w:pPr>
        <w:spacing w:line="240" w:lineRule="auto"/>
        <w:ind w:firstLine="640" w:firstLineChars="200"/>
        <w:rPr>
          <w:rFonts w:ascii="仿宋_GB2312" w:eastAsia="仿宋_GB2312"/>
          <w:sz w:val="32"/>
          <w:szCs w:val="32"/>
        </w:rPr>
      </w:pPr>
      <w:r>
        <w:rPr>
          <w:rFonts w:hint="eastAsia" w:ascii="仿宋_GB2312" w:eastAsia="仿宋_GB2312" w:cs="Arial"/>
          <w:bCs/>
          <w:color w:val="000000"/>
          <w:sz w:val="32"/>
          <w:szCs w:val="32"/>
        </w:rPr>
        <w:t>检验查询：</w:t>
      </w:r>
      <w:r>
        <w:rPr>
          <w:rFonts w:ascii="仿宋_GB2312" w:eastAsia="仿宋_GB2312"/>
          <w:i w:val="0"/>
          <w:sz w:val="32"/>
          <w:szCs w:val="32"/>
        </w:rPr>
        <w:t>http://gdidc.gd.gov.cn</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8F68BD"/>
    <w:multiLevelType w:val="singleLevel"/>
    <w:tmpl w:val="4D8F68BD"/>
    <w:lvl w:ilvl="0" w:tentative="0">
      <w:start w:val="4"/>
      <w:numFmt w:val="chineseCounting"/>
      <w:suff w:val="nothing"/>
      <w:lvlText w:val="%1、"/>
      <w:lvlJc w:val="left"/>
      <w:rPr>
        <w:rFonts w:hint="eastAsia"/>
      </w:rPr>
    </w:lvl>
  </w:abstractNum>
  <w:abstractNum w:abstractNumId="1">
    <w:nsid w:val="57060D77"/>
    <w:multiLevelType w:val="singleLevel"/>
    <w:tmpl w:val="57060D77"/>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D148E"/>
    <w:rsid w:val="00016137"/>
    <w:rsid w:val="000B52BD"/>
    <w:rsid w:val="000D4731"/>
    <w:rsid w:val="000E0D29"/>
    <w:rsid w:val="00150B51"/>
    <w:rsid w:val="001A4632"/>
    <w:rsid w:val="001C63CA"/>
    <w:rsid w:val="001F5014"/>
    <w:rsid w:val="00240281"/>
    <w:rsid w:val="002C7B36"/>
    <w:rsid w:val="00356500"/>
    <w:rsid w:val="0038330A"/>
    <w:rsid w:val="00397800"/>
    <w:rsid w:val="00413DC1"/>
    <w:rsid w:val="00430F70"/>
    <w:rsid w:val="00450FA4"/>
    <w:rsid w:val="00505EF8"/>
    <w:rsid w:val="0051450B"/>
    <w:rsid w:val="00556E25"/>
    <w:rsid w:val="00585C2F"/>
    <w:rsid w:val="006A68A3"/>
    <w:rsid w:val="006D6D2D"/>
    <w:rsid w:val="00704A70"/>
    <w:rsid w:val="00737EA3"/>
    <w:rsid w:val="0079060F"/>
    <w:rsid w:val="007B7EED"/>
    <w:rsid w:val="007D3A69"/>
    <w:rsid w:val="007E55A7"/>
    <w:rsid w:val="00836821"/>
    <w:rsid w:val="00887510"/>
    <w:rsid w:val="00891201"/>
    <w:rsid w:val="008C42B6"/>
    <w:rsid w:val="008E084D"/>
    <w:rsid w:val="008E1E6C"/>
    <w:rsid w:val="00921E45"/>
    <w:rsid w:val="00936648"/>
    <w:rsid w:val="00943FEC"/>
    <w:rsid w:val="00953950"/>
    <w:rsid w:val="0095444D"/>
    <w:rsid w:val="00955EDE"/>
    <w:rsid w:val="00A3402F"/>
    <w:rsid w:val="00A64989"/>
    <w:rsid w:val="00A84205"/>
    <w:rsid w:val="00AB7967"/>
    <w:rsid w:val="00AE55B8"/>
    <w:rsid w:val="00BD2DBE"/>
    <w:rsid w:val="00C107D4"/>
    <w:rsid w:val="00C10A47"/>
    <w:rsid w:val="00C1225A"/>
    <w:rsid w:val="00C24A58"/>
    <w:rsid w:val="00C36923"/>
    <w:rsid w:val="00C43AAA"/>
    <w:rsid w:val="00C80226"/>
    <w:rsid w:val="00CA3249"/>
    <w:rsid w:val="00CC58E7"/>
    <w:rsid w:val="00CD5EDE"/>
    <w:rsid w:val="00CF0E84"/>
    <w:rsid w:val="00D84807"/>
    <w:rsid w:val="00DA6CE5"/>
    <w:rsid w:val="00DD45DE"/>
    <w:rsid w:val="00DF3FB4"/>
    <w:rsid w:val="00E02124"/>
    <w:rsid w:val="00EB73F7"/>
    <w:rsid w:val="00ED148E"/>
    <w:rsid w:val="00F12CF6"/>
    <w:rsid w:val="04EA048D"/>
    <w:rsid w:val="0886328A"/>
    <w:rsid w:val="095B5A7B"/>
    <w:rsid w:val="0C1B40EA"/>
    <w:rsid w:val="22104BF0"/>
    <w:rsid w:val="226B4005"/>
    <w:rsid w:val="234207E5"/>
    <w:rsid w:val="29E33141"/>
    <w:rsid w:val="3BE20597"/>
    <w:rsid w:val="3D46793F"/>
    <w:rsid w:val="463D29D2"/>
    <w:rsid w:val="478552E3"/>
    <w:rsid w:val="49197912"/>
    <w:rsid w:val="4FE64AA3"/>
    <w:rsid w:val="531A6B64"/>
    <w:rsid w:val="556E1CC8"/>
    <w:rsid w:val="56983CF1"/>
    <w:rsid w:val="5DAF6F26"/>
    <w:rsid w:val="62B122D3"/>
    <w:rsid w:val="6DF0775B"/>
    <w:rsid w:val="6EE25551"/>
    <w:rsid w:val="782840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2"/>
    <w:semiHidden/>
    <w:unhideWhenUsed/>
    <w:qFormat/>
    <w:uiPriority w:val="99"/>
    <w:pPr>
      <w:tabs>
        <w:tab w:val="center" w:pos="4153"/>
        <w:tab w:val="right" w:pos="8306"/>
      </w:tabs>
      <w:snapToGrid w:val="0"/>
      <w:jc w:val="left"/>
    </w:pPr>
    <w:rPr>
      <w:sz w:val="18"/>
      <w:szCs w:val="18"/>
    </w:rPr>
  </w:style>
  <w:style w:type="paragraph" w:styleId="3">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22"/>
    <w:rPr>
      <w:b/>
      <w:bCs/>
    </w:rPr>
  </w:style>
  <w:style w:type="character" w:styleId="9">
    <w:name w:val="FollowedHyperlink"/>
    <w:basedOn w:val="7"/>
    <w:semiHidden/>
    <w:unhideWhenUsed/>
    <w:qFormat/>
    <w:uiPriority w:val="99"/>
    <w:rPr>
      <w:color w:val="800080" w:themeColor="followedHyperlink"/>
      <w:u w:val="single"/>
    </w:rPr>
  </w:style>
  <w:style w:type="character" w:styleId="10">
    <w:name w:val="Hyperlink"/>
    <w:basedOn w:val="7"/>
    <w:semiHidden/>
    <w:unhideWhenUsed/>
    <w:qFormat/>
    <w:uiPriority w:val="99"/>
    <w:rPr>
      <w:color w:val="0000FF"/>
      <w:u w:val="single"/>
    </w:rPr>
  </w:style>
  <w:style w:type="character" w:customStyle="1" w:styleId="11">
    <w:name w:val="页眉 Char"/>
    <w:basedOn w:val="7"/>
    <w:link w:val="3"/>
    <w:semiHidden/>
    <w:qFormat/>
    <w:uiPriority w:val="99"/>
    <w:rPr>
      <w:sz w:val="18"/>
      <w:szCs w:val="18"/>
    </w:rPr>
  </w:style>
  <w:style w:type="character" w:customStyle="1" w:styleId="12">
    <w:name w:val="页脚 Char"/>
    <w:basedOn w:val="7"/>
    <w:link w:val="2"/>
    <w:semiHidden/>
    <w:qFormat/>
    <w:uiPriority w:val="99"/>
    <w:rPr>
      <w:sz w:val="18"/>
      <w:szCs w:val="18"/>
    </w:rPr>
  </w:style>
  <w:style w:type="paragraph"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306</Words>
  <Characters>1747</Characters>
  <Lines>14</Lines>
  <Paragraphs>4</Paragraphs>
  <TotalTime>0</TotalTime>
  <ScaleCrop>false</ScaleCrop>
  <LinksUpToDate>false</LinksUpToDate>
  <CharactersWithSpaces>2049</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2022-04-14T03:14:00Z</dcterms:created>
  <dc:creator>林瑶琪</dc:creator>
  <cp:lastModifiedBy>admin</cp:lastModifiedBy>
  <cp:lastPrinted>2022-04-14T03:13:00Z</cp:lastPrinted>
  <dcterms:modified xsi:type="dcterms:W3CDTF">2024-12-20T02:39:05Z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69B805D0D60B4DE18B7F42D34FC4EABF</vt:lpwstr>
  </property>
</Properties>
</file>